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61" w:rsidRDefault="00911E61" w:rsidP="00911E61">
      <w:pPr>
        <w:spacing w:line="360" w:lineRule="auto"/>
        <w:ind w:firstLineChars="200" w:firstLine="723"/>
        <w:jc w:val="center"/>
        <w:rPr>
          <w:rFonts w:hint="eastAsia"/>
          <w:b/>
          <w:bCs/>
          <w:sz w:val="36"/>
          <w:szCs w:val="36"/>
        </w:rPr>
      </w:pPr>
      <w:bookmarkStart w:id="0" w:name="_GoBack"/>
      <w:r w:rsidRPr="00911E61">
        <w:rPr>
          <w:b/>
          <w:bCs/>
          <w:sz w:val="36"/>
          <w:szCs w:val="36"/>
        </w:rPr>
        <w:t>个人所得税</w:t>
      </w:r>
      <w:r w:rsidRPr="00911E61">
        <w:rPr>
          <w:rFonts w:hint="eastAsia"/>
          <w:b/>
          <w:bCs/>
          <w:sz w:val="36"/>
          <w:szCs w:val="36"/>
        </w:rPr>
        <w:t>筹划</w:t>
      </w:r>
    </w:p>
    <w:bookmarkEnd w:id="0"/>
    <w:p w:rsidR="00911E61" w:rsidRPr="00911E61" w:rsidRDefault="00911E61" w:rsidP="00911E61">
      <w:pPr>
        <w:spacing w:line="360" w:lineRule="auto"/>
        <w:ind w:firstLineChars="200" w:firstLine="723"/>
        <w:jc w:val="center"/>
        <w:rPr>
          <w:b/>
          <w:bCs/>
          <w:sz w:val="36"/>
          <w:szCs w:val="36"/>
        </w:rPr>
      </w:pPr>
    </w:p>
    <w:p w:rsidR="00911E61" w:rsidRPr="00FA2B5B" w:rsidRDefault="00911E61" w:rsidP="00911E61">
      <w:pPr>
        <w:spacing w:line="360" w:lineRule="auto"/>
        <w:ind w:firstLineChars="200" w:firstLine="482"/>
        <w:rPr>
          <w:b/>
          <w:bCs/>
          <w:sz w:val="24"/>
        </w:rPr>
      </w:pPr>
      <w:r w:rsidRPr="00FA2B5B">
        <w:rPr>
          <w:b/>
          <w:bCs/>
          <w:sz w:val="24"/>
        </w:rPr>
        <w:t>1.</w:t>
      </w:r>
      <w:r w:rsidRPr="00FA2B5B">
        <w:rPr>
          <w:b/>
          <w:bCs/>
          <w:sz w:val="24"/>
        </w:rPr>
        <w:t>征税对象、税目、税率及应纳税额的计算</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1980"/>
        <w:gridCol w:w="1080"/>
        <w:gridCol w:w="1980"/>
        <w:gridCol w:w="2231"/>
      </w:tblGrid>
      <w:tr w:rsidR="00911E61" w:rsidRPr="00FA2B5B" w:rsidTr="00204220">
        <w:trPr>
          <w:trHeight w:val="450"/>
          <w:jc w:val="center"/>
        </w:trPr>
        <w:tc>
          <w:tcPr>
            <w:tcW w:w="1801" w:type="dxa"/>
            <w:vAlign w:val="center"/>
          </w:tcPr>
          <w:p w:rsidR="00911E61" w:rsidRPr="00FA2B5B" w:rsidRDefault="00911E61" w:rsidP="00204220">
            <w:pPr>
              <w:jc w:val="center"/>
              <w:rPr>
                <w:b/>
                <w:color w:val="000000"/>
                <w:szCs w:val="21"/>
              </w:rPr>
            </w:pPr>
            <w:r w:rsidRPr="00FA2B5B">
              <w:rPr>
                <w:b/>
                <w:color w:val="000000"/>
                <w:szCs w:val="21"/>
              </w:rPr>
              <w:t>应税项目</w:t>
            </w:r>
          </w:p>
        </w:tc>
        <w:tc>
          <w:tcPr>
            <w:tcW w:w="1980" w:type="dxa"/>
            <w:vAlign w:val="center"/>
          </w:tcPr>
          <w:p w:rsidR="00911E61" w:rsidRPr="00FA2B5B" w:rsidRDefault="00911E61" w:rsidP="00204220">
            <w:pPr>
              <w:jc w:val="center"/>
              <w:rPr>
                <w:b/>
                <w:color w:val="000000"/>
                <w:szCs w:val="21"/>
              </w:rPr>
            </w:pPr>
            <w:r w:rsidRPr="00FA2B5B">
              <w:rPr>
                <w:b/>
                <w:color w:val="000000"/>
                <w:szCs w:val="21"/>
              </w:rPr>
              <w:t>税率</w:t>
            </w:r>
          </w:p>
        </w:tc>
        <w:tc>
          <w:tcPr>
            <w:tcW w:w="1080" w:type="dxa"/>
            <w:vAlign w:val="center"/>
          </w:tcPr>
          <w:p w:rsidR="00911E61" w:rsidRPr="00FA2B5B" w:rsidRDefault="00911E61" w:rsidP="00204220">
            <w:pPr>
              <w:jc w:val="center"/>
              <w:rPr>
                <w:b/>
                <w:color w:val="000000"/>
                <w:szCs w:val="21"/>
              </w:rPr>
            </w:pPr>
            <w:r w:rsidRPr="00FA2B5B">
              <w:rPr>
                <w:b/>
                <w:color w:val="000000"/>
                <w:szCs w:val="21"/>
              </w:rPr>
              <w:t>纳税期限</w:t>
            </w:r>
          </w:p>
        </w:tc>
        <w:tc>
          <w:tcPr>
            <w:tcW w:w="1980" w:type="dxa"/>
            <w:vAlign w:val="center"/>
          </w:tcPr>
          <w:p w:rsidR="00911E61" w:rsidRPr="00FA2B5B" w:rsidRDefault="00911E61" w:rsidP="00204220">
            <w:pPr>
              <w:jc w:val="center"/>
              <w:rPr>
                <w:b/>
                <w:color w:val="000000"/>
                <w:szCs w:val="21"/>
              </w:rPr>
            </w:pPr>
            <w:r w:rsidRPr="00FA2B5B">
              <w:rPr>
                <w:b/>
                <w:color w:val="000000"/>
                <w:szCs w:val="21"/>
              </w:rPr>
              <w:t>应纳税所得额</w:t>
            </w:r>
          </w:p>
        </w:tc>
        <w:tc>
          <w:tcPr>
            <w:tcW w:w="2231" w:type="dxa"/>
            <w:vAlign w:val="center"/>
          </w:tcPr>
          <w:p w:rsidR="00911E61" w:rsidRPr="00FA2B5B" w:rsidRDefault="00911E61" w:rsidP="00204220">
            <w:pPr>
              <w:jc w:val="center"/>
              <w:rPr>
                <w:b/>
                <w:color w:val="000000"/>
                <w:szCs w:val="21"/>
              </w:rPr>
            </w:pPr>
            <w:r w:rsidRPr="00FA2B5B">
              <w:rPr>
                <w:b/>
                <w:color w:val="000000"/>
                <w:szCs w:val="21"/>
              </w:rPr>
              <w:t>应纳税额</w:t>
            </w:r>
          </w:p>
        </w:tc>
      </w:tr>
      <w:tr w:rsidR="00911E61" w:rsidRPr="00FA2B5B" w:rsidTr="00204220">
        <w:trPr>
          <w:trHeight w:val="701"/>
          <w:jc w:val="center"/>
        </w:trPr>
        <w:tc>
          <w:tcPr>
            <w:tcW w:w="1801" w:type="dxa"/>
            <w:vAlign w:val="center"/>
          </w:tcPr>
          <w:p w:rsidR="00911E61" w:rsidRPr="00FA2B5B" w:rsidRDefault="00911E61" w:rsidP="00204220">
            <w:pPr>
              <w:rPr>
                <w:b/>
                <w:color w:val="000000"/>
                <w:szCs w:val="21"/>
              </w:rPr>
            </w:pPr>
            <w:r w:rsidRPr="00FA2B5B">
              <w:rPr>
                <w:b/>
                <w:color w:val="000000"/>
                <w:szCs w:val="21"/>
              </w:rPr>
              <w:t>1.</w:t>
            </w:r>
            <w:r w:rsidRPr="00FA2B5B">
              <w:rPr>
                <w:b/>
                <w:color w:val="000000"/>
                <w:szCs w:val="21"/>
              </w:rPr>
              <w:t>工资薪金所得</w:t>
            </w:r>
          </w:p>
        </w:tc>
        <w:tc>
          <w:tcPr>
            <w:tcW w:w="1980" w:type="dxa"/>
            <w:vAlign w:val="center"/>
          </w:tcPr>
          <w:p w:rsidR="00911E61" w:rsidRPr="00FA2B5B" w:rsidRDefault="00911E61" w:rsidP="00204220">
            <w:pPr>
              <w:jc w:val="center"/>
              <w:rPr>
                <w:color w:val="000000"/>
                <w:szCs w:val="21"/>
              </w:rPr>
            </w:pPr>
            <w:r w:rsidRPr="00FA2B5B">
              <w:rPr>
                <w:color w:val="000000"/>
                <w:szCs w:val="21"/>
              </w:rPr>
              <w:t>7</w:t>
            </w:r>
            <w:r w:rsidRPr="00FA2B5B">
              <w:rPr>
                <w:color w:val="000000"/>
                <w:szCs w:val="21"/>
              </w:rPr>
              <w:t>级超额累进税率</w:t>
            </w:r>
          </w:p>
        </w:tc>
        <w:tc>
          <w:tcPr>
            <w:tcW w:w="1080" w:type="dxa"/>
            <w:vAlign w:val="center"/>
          </w:tcPr>
          <w:p w:rsidR="00911E61" w:rsidRPr="00FA2B5B" w:rsidRDefault="00911E61" w:rsidP="00204220">
            <w:pPr>
              <w:jc w:val="center"/>
              <w:rPr>
                <w:color w:val="000000"/>
                <w:szCs w:val="21"/>
              </w:rPr>
            </w:pPr>
            <w:r w:rsidRPr="00FA2B5B">
              <w:rPr>
                <w:color w:val="000000"/>
                <w:szCs w:val="21"/>
              </w:rPr>
              <w:t>月</w:t>
            </w:r>
          </w:p>
        </w:tc>
        <w:tc>
          <w:tcPr>
            <w:tcW w:w="1980" w:type="dxa"/>
            <w:vAlign w:val="center"/>
          </w:tcPr>
          <w:p w:rsidR="00911E61" w:rsidRDefault="00911E61" w:rsidP="00204220">
            <w:pPr>
              <w:jc w:val="center"/>
              <w:rPr>
                <w:rFonts w:hint="eastAsia"/>
                <w:color w:val="000000"/>
                <w:szCs w:val="21"/>
              </w:rPr>
            </w:pPr>
            <w:r w:rsidRPr="00FA2B5B">
              <w:rPr>
                <w:color w:val="000000"/>
                <w:szCs w:val="21"/>
              </w:rPr>
              <w:t>每月收入额</w:t>
            </w:r>
          </w:p>
          <w:p w:rsidR="00911E61" w:rsidRPr="00FA2B5B" w:rsidRDefault="00911E61" w:rsidP="00204220">
            <w:pPr>
              <w:jc w:val="center"/>
              <w:rPr>
                <w:color w:val="000000"/>
                <w:szCs w:val="21"/>
              </w:rPr>
            </w:pPr>
            <w:r w:rsidRPr="00FA2B5B">
              <w:rPr>
                <w:color w:val="000000"/>
                <w:szCs w:val="21"/>
              </w:rPr>
              <w:t>-3500</w:t>
            </w:r>
            <w:r w:rsidRPr="00FA2B5B">
              <w:rPr>
                <w:color w:val="000000"/>
                <w:szCs w:val="21"/>
              </w:rPr>
              <w:t>或</w:t>
            </w:r>
            <w:r w:rsidRPr="00FA2B5B">
              <w:rPr>
                <w:color w:val="000000"/>
                <w:szCs w:val="21"/>
              </w:rPr>
              <w:t>4800</w:t>
            </w:r>
            <w:r w:rsidRPr="00FA2B5B">
              <w:rPr>
                <w:color w:val="000000"/>
                <w:szCs w:val="21"/>
              </w:rPr>
              <w:t>元</w:t>
            </w:r>
          </w:p>
        </w:tc>
        <w:tc>
          <w:tcPr>
            <w:tcW w:w="2231" w:type="dxa"/>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w:t>
            </w:r>
            <w:r w:rsidRPr="00FA2B5B">
              <w:rPr>
                <w:color w:val="000000"/>
                <w:szCs w:val="21"/>
              </w:rPr>
              <w:t>适用税率－速算扣除数</w:t>
            </w:r>
          </w:p>
        </w:tc>
      </w:tr>
    </w:tbl>
    <w:p w:rsidR="00911E61" w:rsidRPr="00FA2B5B" w:rsidRDefault="00911E61" w:rsidP="00911E61">
      <w:pPr>
        <w:spacing w:line="360" w:lineRule="auto"/>
        <w:rPr>
          <w:vanish/>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1201"/>
        <w:gridCol w:w="533"/>
        <w:gridCol w:w="577"/>
        <w:gridCol w:w="3603"/>
        <w:gridCol w:w="2232"/>
      </w:tblGrid>
      <w:tr w:rsidR="00911E61" w:rsidRPr="00FA2B5B" w:rsidTr="00204220">
        <w:trPr>
          <w:trHeight w:val="300"/>
          <w:jc w:val="center"/>
        </w:trPr>
        <w:tc>
          <w:tcPr>
            <w:tcW w:w="510" w:type="pct"/>
          </w:tcPr>
          <w:p w:rsidR="00911E61" w:rsidRDefault="00911E61" w:rsidP="00204220">
            <w:pPr>
              <w:rPr>
                <w:rFonts w:hint="eastAsia"/>
                <w:b/>
                <w:color w:val="000000"/>
                <w:szCs w:val="21"/>
              </w:rPr>
            </w:pPr>
          </w:p>
          <w:p w:rsidR="00911E61" w:rsidRDefault="00911E61" w:rsidP="00204220">
            <w:pPr>
              <w:rPr>
                <w:rFonts w:hint="eastAsia"/>
                <w:b/>
                <w:color w:val="000000"/>
                <w:szCs w:val="21"/>
              </w:rPr>
            </w:pPr>
          </w:p>
          <w:p w:rsidR="00911E61" w:rsidRDefault="00911E61" w:rsidP="00204220">
            <w:pPr>
              <w:rPr>
                <w:rFonts w:hint="eastAsia"/>
                <w:b/>
                <w:color w:val="000000"/>
                <w:szCs w:val="21"/>
              </w:rPr>
            </w:pPr>
          </w:p>
          <w:p w:rsidR="00911E61" w:rsidRPr="00FA2B5B" w:rsidRDefault="00911E61" w:rsidP="00204220">
            <w:pPr>
              <w:rPr>
                <w:b/>
                <w:color w:val="000000"/>
                <w:szCs w:val="21"/>
              </w:rPr>
            </w:pPr>
            <w:r w:rsidRPr="00FA2B5B">
              <w:rPr>
                <w:b/>
                <w:color w:val="000000"/>
                <w:szCs w:val="21"/>
              </w:rPr>
              <w:t>2.</w:t>
            </w:r>
            <w:r w:rsidRPr="00FA2B5B">
              <w:rPr>
                <w:b/>
                <w:color w:val="000000"/>
                <w:szCs w:val="21"/>
              </w:rPr>
              <w:t>劳务报酬所得</w:t>
            </w:r>
          </w:p>
        </w:tc>
        <w:tc>
          <w:tcPr>
            <w:tcW w:w="956" w:type="pct"/>
            <w:gridSpan w:val="2"/>
          </w:tcPr>
          <w:p w:rsidR="00911E61" w:rsidRDefault="00911E61" w:rsidP="00204220">
            <w:pPr>
              <w:rPr>
                <w:rFonts w:hint="eastAsia"/>
                <w:color w:val="000000"/>
                <w:szCs w:val="21"/>
              </w:rPr>
            </w:pPr>
          </w:p>
          <w:p w:rsidR="00911E61" w:rsidRDefault="00911E61" w:rsidP="00204220">
            <w:pPr>
              <w:rPr>
                <w:rFonts w:hint="eastAsia"/>
                <w:color w:val="000000"/>
                <w:szCs w:val="21"/>
              </w:rPr>
            </w:pPr>
          </w:p>
          <w:p w:rsidR="00911E61" w:rsidRDefault="00911E61" w:rsidP="00204220">
            <w:pPr>
              <w:rPr>
                <w:rFonts w:hint="eastAsia"/>
                <w:color w:val="000000"/>
                <w:szCs w:val="21"/>
              </w:rPr>
            </w:pPr>
          </w:p>
          <w:p w:rsidR="00911E61" w:rsidRPr="00FA2B5B" w:rsidRDefault="00911E61" w:rsidP="00204220">
            <w:pPr>
              <w:rPr>
                <w:color w:val="000000"/>
                <w:szCs w:val="21"/>
              </w:rPr>
            </w:pPr>
            <w:r w:rsidRPr="00FA2B5B">
              <w:rPr>
                <w:color w:val="000000"/>
                <w:szCs w:val="21"/>
              </w:rPr>
              <w:t>名义上为比例税率，实际上为</w:t>
            </w:r>
            <w:r w:rsidRPr="00FA2B5B">
              <w:rPr>
                <w:color w:val="000000"/>
                <w:szCs w:val="21"/>
              </w:rPr>
              <w:t>3</w:t>
            </w:r>
            <w:r w:rsidRPr="00FA2B5B">
              <w:rPr>
                <w:color w:val="000000"/>
                <w:szCs w:val="21"/>
              </w:rPr>
              <w:t>级超额累进税率</w:t>
            </w:r>
          </w:p>
        </w:tc>
        <w:tc>
          <w:tcPr>
            <w:tcW w:w="318" w:type="pct"/>
            <w:vAlign w:val="center"/>
          </w:tcPr>
          <w:p w:rsidR="00911E61" w:rsidRPr="00FA2B5B" w:rsidRDefault="00911E61" w:rsidP="00204220">
            <w:pPr>
              <w:jc w:val="center"/>
              <w:rPr>
                <w:color w:val="000000"/>
                <w:szCs w:val="21"/>
              </w:rPr>
            </w:pPr>
            <w:r w:rsidRPr="00FA2B5B">
              <w:rPr>
                <w:color w:val="000000"/>
                <w:szCs w:val="21"/>
              </w:rPr>
              <w:t>次</w:t>
            </w:r>
          </w:p>
        </w:tc>
        <w:tc>
          <w:tcPr>
            <w:tcW w:w="1986" w:type="pct"/>
            <w:vMerge w:val="restart"/>
          </w:tcPr>
          <w:p w:rsidR="00911E61" w:rsidRDefault="00911E61" w:rsidP="00204220">
            <w:pPr>
              <w:rPr>
                <w:rFonts w:hint="eastAsia"/>
                <w:color w:val="000000"/>
                <w:szCs w:val="21"/>
              </w:rPr>
            </w:pPr>
            <w:r w:rsidRPr="00FA2B5B">
              <w:rPr>
                <w:color w:val="000000"/>
                <w:szCs w:val="21"/>
              </w:rPr>
              <w:t>（</w:t>
            </w:r>
            <w:r w:rsidRPr="00FA2B5B">
              <w:rPr>
                <w:color w:val="000000"/>
                <w:szCs w:val="21"/>
              </w:rPr>
              <w:t>1</w:t>
            </w:r>
            <w:r w:rsidRPr="00FA2B5B">
              <w:rPr>
                <w:color w:val="000000"/>
                <w:szCs w:val="21"/>
              </w:rPr>
              <w:t>）每次收入额</w:t>
            </w:r>
            <w:r w:rsidRPr="00FA2B5B">
              <w:rPr>
                <w:color w:val="000000"/>
                <w:szCs w:val="21"/>
              </w:rPr>
              <w:t>≤4000</w:t>
            </w:r>
            <w:r w:rsidRPr="00FA2B5B">
              <w:rPr>
                <w:color w:val="000000"/>
                <w:szCs w:val="21"/>
              </w:rPr>
              <w:t>元</w:t>
            </w:r>
          </w:p>
          <w:p w:rsidR="00911E61" w:rsidRDefault="00911E61" w:rsidP="00204220">
            <w:pPr>
              <w:ind w:firstLineChars="250" w:firstLine="525"/>
              <w:rPr>
                <w:rFonts w:hint="eastAsia"/>
                <w:color w:val="000000"/>
                <w:szCs w:val="21"/>
              </w:rPr>
            </w:pPr>
            <w:r w:rsidRPr="00FA2B5B">
              <w:rPr>
                <w:color w:val="000000"/>
                <w:szCs w:val="21"/>
              </w:rPr>
              <w:t>每次收入额</w:t>
            </w:r>
            <w:r w:rsidRPr="00FA2B5B">
              <w:rPr>
                <w:color w:val="000000"/>
                <w:szCs w:val="21"/>
              </w:rPr>
              <w:t>-800</w:t>
            </w:r>
            <w:r w:rsidRPr="00FA2B5B">
              <w:rPr>
                <w:color w:val="000000"/>
                <w:szCs w:val="21"/>
              </w:rPr>
              <w:t>元</w:t>
            </w:r>
          </w:p>
          <w:p w:rsidR="00911E61" w:rsidRDefault="00911E61" w:rsidP="00204220">
            <w:pPr>
              <w:rPr>
                <w:rFonts w:hint="eastAsia"/>
                <w:color w:val="000000"/>
                <w:szCs w:val="21"/>
              </w:rPr>
            </w:pPr>
            <w:r w:rsidRPr="00FA2B5B">
              <w:rPr>
                <w:color w:val="000000"/>
                <w:szCs w:val="21"/>
              </w:rPr>
              <w:t>（</w:t>
            </w:r>
            <w:r w:rsidRPr="00FA2B5B">
              <w:rPr>
                <w:color w:val="000000"/>
                <w:szCs w:val="21"/>
              </w:rPr>
              <w:t>2</w:t>
            </w:r>
            <w:r w:rsidRPr="00FA2B5B">
              <w:rPr>
                <w:color w:val="000000"/>
                <w:szCs w:val="21"/>
              </w:rPr>
              <w:t>）每次收入</w:t>
            </w:r>
            <w:proofErr w:type="gramStart"/>
            <w:r w:rsidRPr="00FA2B5B">
              <w:rPr>
                <w:color w:val="000000"/>
                <w:szCs w:val="21"/>
              </w:rPr>
              <w:t>〉</w:t>
            </w:r>
            <w:proofErr w:type="gramEnd"/>
            <w:r w:rsidRPr="00FA2B5B">
              <w:rPr>
                <w:color w:val="000000"/>
                <w:szCs w:val="21"/>
              </w:rPr>
              <w:t>4000</w:t>
            </w:r>
            <w:r w:rsidRPr="00FA2B5B">
              <w:rPr>
                <w:color w:val="000000"/>
                <w:szCs w:val="21"/>
              </w:rPr>
              <w:t>元</w:t>
            </w:r>
          </w:p>
          <w:p w:rsidR="00911E61" w:rsidRDefault="00911E61" w:rsidP="00204220">
            <w:pPr>
              <w:rPr>
                <w:rFonts w:hint="eastAsia"/>
                <w:color w:val="000000"/>
                <w:szCs w:val="21"/>
              </w:rPr>
            </w:pPr>
            <w:r w:rsidRPr="00FA2B5B">
              <w:rPr>
                <w:color w:val="000000"/>
                <w:szCs w:val="21"/>
              </w:rPr>
              <w:t xml:space="preserve">　</w:t>
            </w:r>
            <w:r>
              <w:rPr>
                <w:rFonts w:hint="eastAsia"/>
                <w:color w:val="000000"/>
                <w:szCs w:val="21"/>
              </w:rPr>
              <w:t xml:space="preserve">   </w:t>
            </w:r>
            <w:r w:rsidRPr="00FA2B5B">
              <w:rPr>
                <w:color w:val="000000"/>
                <w:szCs w:val="21"/>
              </w:rPr>
              <w:t>每次收入额</w:t>
            </w:r>
            <w:r w:rsidRPr="00FA2B5B">
              <w:rPr>
                <w:color w:val="000000"/>
                <w:szCs w:val="21"/>
              </w:rPr>
              <w:t>×</w:t>
            </w:r>
            <w:r w:rsidRPr="00FA2B5B">
              <w:rPr>
                <w:color w:val="000000"/>
                <w:szCs w:val="21"/>
              </w:rPr>
              <w:t>（</w:t>
            </w:r>
            <w:r w:rsidRPr="00FA2B5B">
              <w:rPr>
                <w:color w:val="000000"/>
                <w:szCs w:val="21"/>
              </w:rPr>
              <w:t>1-20%</w:t>
            </w:r>
            <w:r w:rsidRPr="00FA2B5B">
              <w:rPr>
                <w:color w:val="000000"/>
                <w:szCs w:val="21"/>
              </w:rPr>
              <w:t>）</w:t>
            </w:r>
          </w:p>
          <w:p w:rsidR="00911E61" w:rsidRDefault="00911E61" w:rsidP="00204220">
            <w:pPr>
              <w:rPr>
                <w:rFonts w:hint="eastAsia"/>
                <w:color w:val="000000"/>
                <w:szCs w:val="21"/>
              </w:rPr>
            </w:pPr>
            <w:r w:rsidRPr="00FA2B5B">
              <w:rPr>
                <w:color w:val="000000"/>
                <w:szCs w:val="21"/>
              </w:rPr>
              <w:t>注：</w:t>
            </w:r>
          </w:p>
          <w:p w:rsidR="00911E61" w:rsidRPr="00FA2B5B" w:rsidRDefault="00911E61" w:rsidP="00204220">
            <w:pPr>
              <w:ind w:left="210" w:hangingChars="100" w:hanging="210"/>
              <w:rPr>
                <w:color w:val="000000"/>
                <w:szCs w:val="21"/>
              </w:rPr>
            </w:pPr>
            <w:r w:rsidRPr="00FA2B5B">
              <w:rPr>
                <w:color w:val="000000"/>
                <w:szCs w:val="21"/>
              </w:rPr>
              <w:t>1.</w:t>
            </w:r>
            <w:r w:rsidRPr="00FA2B5B">
              <w:rPr>
                <w:color w:val="000000"/>
                <w:szCs w:val="21"/>
              </w:rPr>
              <w:t>劳务报酬所得，属于一次性收入的，以取得该项收入为一次；属于同一项目连续性收入的，以一个月内取得的收入为一次。</w:t>
            </w:r>
          </w:p>
          <w:p w:rsidR="00911E61" w:rsidRPr="00FA2B5B" w:rsidRDefault="00911E61" w:rsidP="00204220">
            <w:pPr>
              <w:ind w:left="240" w:hangingChars="100" w:hanging="240"/>
              <w:rPr>
                <w:color w:val="000000"/>
                <w:sz w:val="24"/>
              </w:rPr>
            </w:pPr>
            <w:r w:rsidRPr="00FA2B5B">
              <w:rPr>
                <w:color w:val="000000"/>
                <w:sz w:val="24"/>
              </w:rPr>
              <w:t>2.</w:t>
            </w:r>
            <w:r w:rsidRPr="00FA2B5B">
              <w:rPr>
                <w:color w:val="000000"/>
                <w:szCs w:val="21"/>
              </w:rPr>
              <w:t xml:space="preserve"> </w:t>
            </w:r>
            <w:r w:rsidRPr="00FA2B5B">
              <w:rPr>
                <w:color w:val="000000"/>
                <w:szCs w:val="21"/>
              </w:rPr>
              <w:t>稿酬所得，以每次出版、发表取得的收入为一次。</w:t>
            </w:r>
          </w:p>
          <w:p w:rsidR="00911E61" w:rsidRPr="00FA2B5B" w:rsidRDefault="00911E61" w:rsidP="00204220">
            <w:pPr>
              <w:ind w:left="210" w:hangingChars="100" w:hanging="210"/>
              <w:rPr>
                <w:color w:val="000000"/>
                <w:szCs w:val="21"/>
              </w:rPr>
            </w:pPr>
            <w:r w:rsidRPr="00FA2B5B">
              <w:rPr>
                <w:color w:val="000000"/>
                <w:szCs w:val="21"/>
              </w:rPr>
              <w:t xml:space="preserve">3. </w:t>
            </w:r>
            <w:r w:rsidRPr="00FA2B5B">
              <w:rPr>
                <w:color w:val="000000"/>
                <w:szCs w:val="21"/>
              </w:rPr>
              <w:t>特许权使用费所得，以一项特许权的一次许可使用所取得的收入为一次。</w:t>
            </w:r>
          </w:p>
        </w:tc>
        <w:tc>
          <w:tcPr>
            <w:tcW w:w="1230" w:type="pct"/>
          </w:tcPr>
          <w:p w:rsidR="00911E61" w:rsidRDefault="00911E61" w:rsidP="00204220">
            <w:pPr>
              <w:rPr>
                <w:rFonts w:hint="eastAsia"/>
                <w:color w:val="000000"/>
                <w:szCs w:val="21"/>
              </w:rPr>
            </w:pPr>
            <w:r w:rsidRPr="00FA2B5B">
              <w:rPr>
                <w:color w:val="000000"/>
                <w:szCs w:val="21"/>
              </w:rPr>
              <w:t>（</w:t>
            </w:r>
            <w:r w:rsidRPr="00FA2B5B">
              <w:rPr>
                <w:color w:val="000000"/>
                <w:szCs w:val="21"/>
              </w:rPr>
              <w:t>1</w:t>
            </w:r>
            <w:r w:rsidRPr="00FA2B5B">
              <w:rPr>
                <w:color w:val="000000"/>
                <w:szCs w:val="21"/>
              </w:rPr>
              <w:t>）应纳税所得额</w:t>
            </w:r>
            <w:r w:rsidRPr="00FA2B5B">
              <w:rPr>
                <w:color w:val="000000"/>
                <w:szCs w:val="21"/>
              </w:rPr>
              <w:t>20000</w:t>
            </w:r>
            <w:r w:rsidRPr="00FA2B5B">
              <w:rPr>
                <w:color w:val="000000"/>
                <w:szCs w:val="21"/>
              </w:rPr>
              <w:t>元以下的：</w:t>
            </w:r>
          </w:p>
          <w:p w:rsidR="00911E61" w:rsidRDefault="00911E61" w:rsidP="00204220">
            <w:pPr>
              <w:rPr>
                <w:rFonts w:hint="eastAsia"/>
                <w:color w:val="000000"/>
                <w:szCs w:val="21"/>
              </w:rPr>
            </w:pPr>
            <w:r w:rsidRPr="00FA2B5B">
              <w:rPr>
                <w:color w:val="000000"/>
                <w:szCs w:val="21"/>
              </w:rPr>
              <w:t>应纳税额</w:t>
            </w:r>
            <w:r w:rsidRPr="00FA2B5B">
              <w:rPr>
                <w:color w:val="000000"/>
                <w:szCs w:val="21"/>
              </w:rPr>
              <w:t>=</w:t>
            </w:r>
            <w:r w:rsidRPr="00FA2B5B">
              <w:rPr>
                <w:color w:val="000000"/>
                <w:szCs w:val="21"/>
              </w:rPr>
              <w:t>应纳税所得额</w:t>
            </w:r>
            <w:r w:rsidRPr="00FA2B5B">
              <w:rPr>
                <w:color w:val="000000"/>
                <w:szCs w:val="21"/>
              </w:rPr>
              <w:t>×</w:t>
            </w:r>
            <w:r w:rsidRPr="00FA2B5B">
              <w:rPr>
                <w:color w:val="000000"/>
                <w:szCs w:val="21"/>
              </w:rPr>
              <w:t>适用税率</w:t>
            </w:r>
          </w:p>
          <w:p w:rsidR="00911E61" w:rsidRDefault="00911E61" w:rsidP="00204220">
            <w:pPr>
              <w:rPr>
                <w:rFonts w:hint="eastAsia"/>
                <w:color w:val="000000"/>
                <w:szCs w:val="21"/>
              </w:rPr>
            </w:pPr>
            <w:r w:rsidRPr="00FA2B5B">
              <w:rPr>
                <w:color w:val="000000"/>
                <w:szCs w:val="21"/>
              </w:rPr>
              <w:t>（</w:t>
            </w:r>
            <w:r w:rsidRPr="00FA2B5B">
              <w:rPr>
                <w:color w:val="000000"/>
                <w:szCs w:val="21"/>
              </w:rPr>
              <w:t>2</w:t>
            </w:r>
            <w:r w:rsidRPr="00FA2B5B">
              <w:rPr>
                <w:color w:val="000000"/>
                <w:szCs w:val="21"/>
              </w:rPr>
              <w:t>）应纳税所得额</w:t>
            </w:r>
            <w:r w:rsidRPr="00FA2B5B">
              <w:rPr>
                <w:color w:val="000000"/>
                <w:szCs w:val="21"/>
              </w:rPr>
              <w:t>20000</w:t>
            </w:r>
            <w:r w:rsidRPr="00FA2B5B">
              <w:rPr>
                <w:color w:val="000000"/>
                <w:szCs w:val="21"/>
              </w:rPr>
              <w:t>元以上的：</w:t>
            </w:r>
          </w:p>
          <w:p w:rsidR="00911E61" w:rsidRPr="00FA2B5B" w:rsidRDefault="00911E61" w:rsidP="00204220">
            <w:pPr>
              <w:rPr>
                <w:color w:val="000000"/>
                <w:szCs w:val="21"/>
              </w:rPr>
            </w:pPr>
            <w:r w:rsidRPr="00FA2B5B">
              <w:rPr>
                <w:color w:val="000000"/>
                <w:szCs w:val="21"/>
              </w:rPr>
              <w:t>应纳税额</w:t>
            </w:r>
            <w:r w:rsidRPr="00FA2B5B">
              <w:rPr>
                <w:color w:val="000000"/>
                <w:szCs w:val="21"/>
              </w:rPr>
              <w:t>=</w:t>
            </w:r>
            <w:r w:rsidRPr="00FA2B5B">
              <w:rPr>
                <w:color w:val="000000"/>
                <w:szCs w:val="21"/>
              </w:rPr>
              <w:t>应纳税所得额</w:t>
            </w:r>
            <w:r w:rsidRPr="00FA2B5B">
              <w:rPr>
                <w:color w:val="000000"/>
                <w:szCs w:val="21"/>
              </w:rPr>
              <w:t>×</w:t>
            </w:r>
            <w:r w:rsidRPr="00FA2B5B">
              <w:rPr>
                <w:color w:val="000000"/>
                <w:szCs w:val="21"/>
              </w:rPr>
              <w:t>适用税率－速算扣除数</w:t>
            </w:r>
          </w:p>
        </w:tc>
      </w:tr>
      <w:tr w:rsidR="00911E61" w:rsidRPr="00FA2B5B" w:rsidTr="00204220">
        <w:trPr>
          <w:trHeight w:val="913"/>
          <w:jc w:val="center"/>
        </w:trPr>
        <w:tc>
          <w:tcPr>
            <w:tcW w:w="510" w:type="pct"/>
          </w:tcPr>
          <w:p w:rsidR="00911E61" w:rsidRPr="00FA2B5B" w:rsidRDefault="00911E61" w:rsidP="00204220">
            <w:pPr>
              <w:rPr>
                <w:b/>
                <w:color w:val="000000"/>
                <w:szCs w:val="21"/>
              </w:rPr>
            </w:pPr>
            <w:r w:rsidRPr="00FA2B5B">
              <w:rPr>
                <w:b/>
                <w:color w:val="000000"/>
                <w:szCs w:val="21"/>
              </w:rPr>
              <w:t>3.</w:t>
            </w:r>
            <w:r w:rsidRPr="00FA2B5B">
              <w:rPr>
                <w:b/>
                <w:color w:val="000000"/>
                <w:szCs w:val="21"/>
              </w:rPr>
              <w:t>稿酬所得</w:t>
            </w:r>
          </w:p>
        </w:tc>
        <w:tc>
          <w:tcPr>
            <w:tcW w:w="956" w:type="pct"/>
            <w:gridSpan w:val="2"/>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比例税率，按应纳税额减征</w:t>
            </w:r>
            <w:r w:rsidRPr="00FA2B5B">
              <w:rPr>
                <w:color w:val="000000"/>
                <w:szCs w:val="21"/>
              </w:rPr>
              <w:t>30%</w:t>
            </w:r>
            <w:r w:rsidRPr="00FA2B5B">
              <w:rPr>
                <w:color w:val="000000"/>
                <w:szCs w:val="21"/>
              </w:rPr>
              <w:t>。</w:t>
            </w:r>
          </w:p>
        </w:tc>
        <w:tc>
          <w:tcPr>
            <w:tcW w:w="318" w:type="pct"/>
            <w:vAlign w:val="center"/>
          </w:tcPr>
          <w:p w:rsidR="00911E61" w:rsidRPr="00FA2B5B" w:rsidRDefault="00911E61" w:rsidP="00204220">
            <w:pPr>
              <w:jc w:val="center"/>
              <w:rPr>
                <w:color w:val="000000"/>
                <w:szCs w:val="21"/>
              </w:rPr>
            </w:pPr>
            <w:r w:rsidRPr="00FA2B5B">
              <w:rPr>
                <w:color w:val="000000"/>
                <w:szCs w:val="21"/>
              </w:rPr>
              <w:t>次</w:t>
            </w:r>
          </w:p>
        </w:tc>
        <w:tc>
          <w:tcPr>
            <w:tcW w:w="1986" w:type="pct"/>
            <w:vMerge/>
          </w:tcPr>
          <w:p w:rsidR="00911E61" w:rsidRPr="00FA2B5B" w:rsidRDefault="00911E61" w:rsidP="00204220">
            <w:pPr>
              <w:rPr>
                <w:color w:val="000000"/>
                <w:szCs w:val="21"/>
              </w:rPr>
            </w:pPr>
          </w:p>
        </w:tc>
        <w:tc>
          <w:tcPr>
            <w:tcW w:w="1230" w:type="pct"/>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×14%</w:t>
            </w:r>
          </w:p>
        </w:tc>
      </w:tr>
      <w:tr w:rsidR="00911E61" w:rsidRPr="00FA2B5B" w:rsidTr="00204220">
        <w:trPr>
          <w:trHeight w:val="973"/>
          <w:jc w:val="center"/>
        </w:trPr>
        <w:tc>
          <w:tcPr>
            <w:tcW w:w="510" w:type="pct"/>
          </w:tcPr>
          <w:p w:rsidR="00911E61" w:rsidRPr="00FA2B5B" w:rsidRDefault="00911E61" w:rsidP="00204220">
            <w:pPr>
              <w:rPr>
                <w:b/>
                <w:color w:val="000000"/>
                <w:szCs w:val="21"/>
              </w:rPr>
            </w:pPr>
            <w:r w:rsidRPr="00FA2B5B">
              <w:rPr>
                <w:b/>
                <w:color w:val="000000"/>
                <w:szCs w:val="21"/>
              </w:rPr>
              <w:t>4.</w:t>
            </w:r>
            <w:r w:rsidRPr="00FA2B5B">
              <w:rPr>
                <w:b/>
                <w:color w:val="000000"/>
                <w:szCs w:val="21"/>
              </w:rPr>
              <w:t>特许权使用费所得</w:t>
            </w:r>
          </w:p>
        </w:tc>
        <w:tc>
          <w:tcPr>
            <w:tcW w:w="956" w:type="pct"/>
            <w:gridSpan w:val="2"/>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318" w:type="pct"/>
            <w:vAlign w:val="center"/>
          </w:tcPr>
          <w:p w:rsidR="00911E61" w:rsidRPr="00FA2B5B" w:rsidRDefault="00911E61" w:rsidP="00204220">
            <w:pPr>
              <w:jc w:val="center"/>
              <w:rPr>
                <w:color w:val="000000"/>
                <w:szCs w:val="21"/>
              </w:rPr>
            </w:pPr>
            <w:r w:rsidRPr="00FA2B5B">
              <w:rPr>
                <w:color w:val="000000"/>
                <w:szCs w:val="21"/>
              </w:rPr>
              <w:t>次</w:t>
            </w:r>
          </w:p>
        </w:tc>
        <w:tc>
          <w:tcPr>
            <w:tcW w:w="1986" w:type="pct"/>
            <w:vMerge/>
          </w:tcPr>
          <w:p w:rsidR="00911E61" w:rsidRPr="00FA2B5B" w:rsidRDefault="00911E61" w:rsidP="00204220">
            <w:pPr>
              <w:rPr>
                <w:color w:val="000000"/>
                <w:szCs w:val="21"/>
              </w:rPr>
            </w:pPr>
          </w:p>
        </w:tc>
        <w:tc>
          <w:tcPr>
            <w:tcW w:w="1230" w:type="pct"/>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×20%</w:t>
            </w:r>
          </w:p>
        </w:tc>
      </w:tr>
      <w:tr w:rsidR="00911E61" w:rsidRPr="00FA2B5B" w:rsidTr="00204220">
        <w:trPr>
          <w:trHeight w:val="300"/>
          <w:jc w:val="center"/>
        </w:trPr>
        <w:tc>
          <w:tcPr>
            <w:tcW w:w="510" w:type="pct"/>
          </w:tcPr>
          <w:p w:rsidR="00911E61" w:rsidRDefault="00911E61" w:rsidP="00204220">
            <w:pPr>
              <w:rPr>
                <w:rFonts w:hint="eastAsia"/>
                <w:b/>
                <w:color w:val="000000"/>
                <w:szCs w:val="21"/>
              </w:rPr>
            </w:pPr>
          </w:p>
          <w:p w:rsidR="00911E61" w:rsidRDefault="00911E61" w:rsidP="00204220">
            <w:pPr>
              <w:rPr>
                <w:rFonts w:hint="eastAsia"/>
                <w:b/>
                <w:color w:val="000000"/>
                <w:szCs w:val="21"/>
              </w:rPr>
            </w:pPr>
          </w:p>
          <w:p w:rsidR="00911E61" w:rsidRPr="00FA2B5B" w:rsidRDefault="00911E61" w:rsidP="00204220">
            <w:pPr>
              <w:rPr>
                <w:b/>
                <w:color w:val="000000"/>
                <w:szCs w:val="21"/>
              </w:rPr>
            </w:pPr>
            <w:r w:rsidRPr="00FA2B5B">
              <w:rPr>
                <w:b/>
                <w:color w:val="000000"/>
                <w:szCs w:val="21"/>
              </w:rPr>
              <w:t>5.</w:t>
            </w:r>
            <w:r w:rsidRPr="00FA2B5B">
              <w:rPr>
                <w:b/>
                <w:color w:val="000000"/>
                <w:szCs w:val="21"/>
              </w:rPr>
              <w:t>财产租赁所得</w:t>
            </w:r>
          </w:p>
        </w:tc>
        <w:tc>
          <w:tcPr>
            <w:tcW w:w="662" w:type="pct"/>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294" w:type="pct"/>
            <w:vAlign w:val="center"/>
          </w:tcPr>
          <w:p w:rsidR="00911E61" w:rsidRPr="00FA2B5B" w:rsidRDefault="00911E61" w:rsidP="00204220">
            <w:pPr>
              <w:jc w:val="center"/>
              <w:rPr>
                <w:color w:val="000000"/>
                <w:szCs w:val="21"/>
              </w:rPr>
            </w:pPr>
            <w:r w:rsidRPr="00FA2B5B">
              <w:rPr>
                <w:color w:val="000000"/>
                <w:szCs w:val="21"/>
              </w:rPr>
              <w:t>次</w:t>
            </w:r>
          </w:p>
        </w:tc>
        <w:tc>
          <w:tcPr>
            <w:tcW w:w="2304" w:type="pct"/>
            <w:gridSpan w:val="2"/>
          </w:tcPr>
          <w:p w:rsidR="00911E61" w:rsidRDefault="00911E61" w:rsidP="00204220">
            <w:pPr>
              <w:rPr>
                <w:rFonts w:hint="eastAsia"/>
                <w:color w:val="000000"/>
                <w:szCs w:val="21"/>
              </w:rPr>
            </w:pPr>
            <w:r w:rsidRPr="00FA2B5B">
              <w:rPr>
                <w:color w:val="000000"/>
                <w:szCs w:val="21"/>
              </w:rPr>
              <w:t>（</w:t>
            </w:r>
            <w:r w:rsidRPr="00FA2B5B">
              <w:rPr>
                <w:color w:val="000000"/>
                <w:szCs w:val="21"/>
              </w:rPr>
              <w:t>1</w:t>
            </w:r>
            <w:r w:rsidRPr="00FA2B5B">
              <w:rPr>
                <w:color w:val="000000"/>
                <w:szCs w:val="21"/>
              </w:rPr>
              <w:t>）每次收入</w:t>
            </w:r>
            <w:r w:rsidRPr="00FA2B5B">
              <w:rPr>
                <w:color w:val="000000"/>
                <w:szCs w:val="21"/>
              </w:rPr>
              <w:t>≤4000</w:t>
            </w:r>
            <w:r w:rsidRPr="00FA2B5B">
              <w:rPr>
                <w:color w:val="000000"/>
                <w:szCs w:val="21"/>
              </w:rPr>
              <w:t>元</w:t>
            </w:r>
          </w:p>
          <w:p w:rsidR="00911E61" w:rsidRDefault="00911E61" w:rsidP="00204220">
            <w:pPr>
              <w:rPr>
                <w:rFonts w:hint="eastAsia"/>
                <w:color w:val="000000"/>
                <w:szCs w:val="21"/>
              </w:rPr>
            </w:pPr>
            <w:r w:rsidRPr="00FA2B5B">
              <w:rPr>
                <w:color w:val="000000"/>
                <w:szCs w:val="21"/>
              </w:rPr>
              <w:t>应纳税所得额</w:t>
            </w:r>
            <w:r w:rsidRPr="00FA2B5B">
              <w:rPr>
                <w:color w:val="000000"/>
                <w:szCs w:val="21"/>
              </w:rPr>
              <w:t>=</w:t>
            </w:r>
            <w:r w:rsidRPr="00FA2B5B">
              <w:rPr>
                <w:color w:val="000000"/>
                <w:szCs w:val="21"/>
              </w:rPr>
              <w:t>每次（月）收入额</w:t>
            </w:r>
            <w:r w:rsidRPr="00FA2B5B">
              <w:rPr>
                <w:color w:val="000000"/>
                <w:szCs w:val="21"/>
              </w:rPr>
              <w:t>-</w:t>
            </w:r>
            <w:r w:rsidRPr="00FA2B5B">
              <w:rPr>
                <w:color w:val="000000"/>
                <w:szCs w:val="21"/>
              </w:rPr>
              <w:t>准予扣除项目</w:t>
            </w:r>
            <w:r w:rsidRPr="00FA2B5B">
              <w:rPr>
                <w:color w:val="000000"/>
                <w:szCs w:val="21"/>
              </w:rPr>
              <w:t>-</w:t>
            </w:r>
            <w:r w:rsidRPr="00FA2B5B">
              <w:rPr>
                <w:color w:val="000000"/>
                <w:szCs w:val="21"/>
              </w:rPr>
              <w:t>修缮费用（</w:t>
            </w:r>
            <w:r w:rsidRPr="00FA2B5B">
              <w:rPr>
                <w:color w:val="000000"/>
                <w:szCs w:val="21"/>
              </w:rPr>
              <w:t>800</w:t>
            </w:r>
            <w:r w:rsidRPr="00FA2B5B">
              <w:rPr>
                <w:color w:val="000000"/>
                <w:szCs w:val="21"/>
              </w:rPr>
              <w:t>元为限）</w:t>
            </w:r>
            <w:r w:rsidRPr="00FA2B5B">
              <w:rPr>
                <w:color w:val="000000"/>
                <w:szCs w:val="21"/>
              </w:rPr>
              <w:t>-800</w:t>
            </w:r>
            <w:r w:rsidRPr="00FA2B5B">
              <w:rPr>
                <w:color w:val="000000"/>
                <w:szCs w:val="21"/>
              </w:rPr>
              <w:t>元</w:t>
            </w:r>
          </w:p>
          <w:p w:rsidR="00911E61" w:rsidRDefault="00911E61" w:rsidP="00204220">
            <w:pPr>
              <w:rPr>
                <w:rFonts w:hint="eastAsia"/>
                <w:color w:val="000000"/>
                <w:szCs w:val="21"/>
              </w:rPr>
            </w:pPr>
            <w:r w:rsidRPr="00FA2B5B">
              <w:rPr>
                <w:color w:val="000000"/>
                <w:szCs w:val="21"/>
              </w:rPr>
              <w:t>（</w:t>
            </w:r>
            <w:r w:rsidRPr="00FA2B5B">
              <w:rPr>
                <w:color w:val="000000"/>
                <w:szCs w:val="21"/>
              </w:rPr>
              <w:t>2</w:t>
            </w:r>
            <w:r w:rsidRPr="00FA2B5B">
              <w:rPr>
                <w:color w:val="000000"/>
                <w:szCs w:val="21"/>
              </w:rPr>
              <w:t>）每次收入</w:t>
            </w:r>
            <w:proofErr w:type="gramStart"/>
            <w:r w:rsidRPr="00FA2B5B">
              <w:rPr>
                <w:color w:val="000000"/>
                <w:szCs w:val="21"/>
              </w:rPr>
              <w:t>〉</w:t>
            </w:r>
            <w:proofErr w:type="gramEnd"/>
            <w:r w:rsidRPr="00FA2B5B">
              <w:rPr>
                <w:color w:val="000000"/>
                <w:szCs w:val="21"/>
              </w:rPr>
              <w:t>4000</w:t>
            </w:r>
            <w:r w:rsidRPr="00FA2B5B">
              <w:rPr>
                <w:color w:val="000000"/>
                <w:szCs w:val="21"/>
              </w:rPr>
              <w:t>元</w:t>
            </w:r>
          </w:p>
          <w:p w:rsidR="00911E61" w:rsidRPr="00FA2B5B" w:rsidRDefault="00911E61" w:rsidP="00204220">
            <w:pPr>
              <w:rPr>
                <w:color w:val="000000"/>
                <w:szCs w:val="21"/>
              </w:rPr>
            </w:pPr>
            <w:r w:rsidRPr="00FA2B5B">
              <w:rPr>
                <w:color w:val="000000"/>
                <w:szCs w:val="21"/>
              </w:rPr>
              <w:t>应纳税所得额</w:t>
            </w:r>
            <w:r w:rsidRPr="00FA2B5B">
              <w:rPr>
                <w:color w:val="000000"/>
                <w:szCs w:val="21"/>
              </w:rPr>
              <w:t>=[</w:t>
            </w:r>
            <w:r w:rsidRPr="00FA2B5B">
              <w:rPr>
                <w:color w:val="000000"/>
                <w:szCs w:val="21"/>
              </w:rPr>
              <w:t>每次（月）收入额</w:t>
            </w:r>
            <w:r w:rsidRPr="00FA2B5B">
              <w:rPr>
                <w:color w:val="000000"/>
                <w:szCs w:val="21"/>
              </w:rPr>
              <w:t>-</w:t>
            </w:r>
            <w:r w:rsidRPr="00FA2B5B">
              <w:rPr>
                <w:color w:val="000000"/>
                <w:szCs w:val="21"/>
              </w:rPr>
              <w:t>准予扣除项目</w:t>
            </w:r>
            <w:r w:rsidRPr="00FA2B5B">
              <w:rPr>
                <w:color w:val="000000"/>
                <w:szCs w:val="21"/>
              </w:rPr>
              <w:t>-</w:t>
            </w:r>
            <w:r w:rsidRPr="00FA2B5B">
              <w:rPr>
                <w:color w:val="000000"/>
                <w:szCs w:val="21"/>
              </w:rPr>
              <w:t>修缮费用（</w:t>
            </w:r>
            <w:r w:rsidRPr="00FA2B5B">
              <w:rPr>
                <w:color w:val="000000"/>
                <w:szCs w:val="21"/>
              </w:rPr>
              <w:t>800</w:t>
            </w:r>
            <w:r w:rsidRPr="00FA2B5B">
              <w:rPr>
                <w:color w:val="000000"/>
                <w:szCs w:val="21"/>
              </w:rPr>
              <w:t>元为限）</w:t>
            </w:r>
            <w:r w:rsidRPr="00FA2B5B">
              <w:rPr>
                <w:color w:val="000000"/>
                <w:szCs w:val="21"/>
              </w:rPr>
              <w:t>]×</w:t>
            </w:r>
            <w:r w:rsidRPr="00FA2B5B">
              <w:rPr>
                <w:color w:val="000000"/>
                <w:szCs w:val="21"/>
              </w:rPr>
              <w:t>（</w:t>
            </w:r>
            <w:r w:rsidRPr="00FA2B5B">
              <w:rPr>
                <w:color w:val="000000"/>
                <w:szCs w:val="21"/>
              </w:rPr>
              <w:t>1-20%</w:t>
            </w:r>
            <w:r w:rsidRPr="00FA2B5B">
              <w:rPr>
                <w:color w:val="000000"/>
                <w:szCs w:val="21"/>
              </w:rPr>
              <w:t>）</w:t>
            </w:r>
          </w:p>
        </w:tc>
        <w:tc>
          <w:tcPr>
            <w:tcW w:w="1230" w:type="pct"/>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×20%</w:t>
            </w:r>
          </w:p>
        </w:tc>
      </w:tr>
      <w:tr w:rsidR="00911E61" w:rsidRPr="00FA2B5B" w:rsidTr="00204220">
        <w:trPr>
          <w:trHeight w:val="300"/>
          <w:jc w:val="center"/>
        </w:trPr>
        <w:tc>
          <w:tcPr>
            <w:tcW w:w="510" w:type="pct"/>
          </w:tcPr>
          <w:p w:rsidR="00911E61" w:rsidRDefault="00911E61" w:rsidP="00204220">
            <w:pPr>
              <w:rPr>
                <w:rFonts w:hint="eastAsia"/>
                <w:b/>
                <w:color w:val="000000"/>
                <w:szCs w:val="21"/>
              </w:rPr>
            </w:pPr>
          </w:p>
          <w:p w:rsidR="00911E61" w:rsidRPr="00FA2B5B" w:rsidRDefault="00911E61" w:rsidP="00204220">
            <w:pPr>
              <w:rPr>
                <w:b/>
                <w:color w:val="000000"/>
                <w:szCs w:val="21"/>
              </w:rPr>
            </w:pPr>
            <w:r w:rsidRPr="00FA2B5B">
              <w:rPr>
                <w:b/>
                <w:color w:val="000000"/>
                <w:szCs w:val="21"/>
              </w:rPr>
              <w:t>6.</w:t>
            </w:r>
            <w:r w:rsidRPr="00FA2B5B">
              <w:rPr>
                <w:b/>
                <w:color w:val="000000"/>
                <w:szCs w:val="21"/>
              </w:rPr>
              <w:t>财产转让所得</w:t>
            </w:r>
          </w:p>
        </w:tc>
        <w:tc>
          <w:tcPr>
            <w:tcW w:w="662" w:type="pct"/>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294" w:type="pct"/>
            <w:vAlign w:val="center"/>
          </w:tcPr>
          <w:p w:rsidR="00911E61" w:rsidRPr="00FA2B5B" w:rsidRDefault="00911E61" w:rsidP="00204220">
            <w:pPr>
              <w:jc w:val="center"/>
              <w:rPr>
                <w:color w:val="000000"/>
                <w:szCs w:val="21"/>
              </w:rPr>
            </w:pPr>
            <w:r w:rsidRPr="00FA2B5B">
              <w:rPr>
                <w:color w:val="000000"/>
                <w:szCs w:val="21"/>
              </w:rPr>
              <w:t>次</w:t>
            </w:r>
          </w:p>
        </w:tc>
        <w:tc>
          <w:tcPr>
            <w:tcW w:w="2304" w:type="pct"/>
            <w:gridSpan w:val="2"/>
          </w:tcPr>
          <w:p w:rsidR="00911E61" w:rsidRDefault="00911E61" w:rsidP="00204220">
            <w:pPr>
              <w:rPr>
                <w:rFonts w:hint="eastAsia"/>
                <w:color w:val="000000"/>
                <w:szCs w:val="21"/>
              </w:rPr>
            </w:pPr>
            <w:r w:rsidRPr="00FA2B5B">
              <w:rPr>
                <w:color w:val="000000"/>
                <w:szCs w:val="21"/>
              </w:rPr>
              <w:t>（</w:t>
            </w:r>
            <w:r w:rsidRPr="00FA2B5B">
              <w:rPr>
                <w:color w:val="000000"/>
                <w:szCs w:val="21"/>
              </w:rPr>
              <w:t>1</w:t>
            </w:r>
            <w:r w:rsidRPr="00FA2B5B">
              <w:rPr>
                <w:color w:val="000000"/>
                <w:szCs w:val="21"/>
              </w:rPr>
              <w:t>）一般情况下：收入总额</w:t>
            </w:r>
            <w:r w:rsidRPr="00FA2B5B">
              <w:rPr>
                <w:color w:val="000000"/>
                <w:szCs w:val="21"/>
              </w:rPr>
              <w:t>-</w:t>
            </w:r>
            <w:r w:rsidRPr="00FA2B5B">
              <w:rPr>
                <w:color w:val="000000"/>
                <w:szCs w:val="21"/>
              </w:rPr>
              <w:t>财产原值</w:t>
            </w:r>
            <w:r w:rsidRPr="00FA2B5B">
              <w:rPr>
                <w:color w:val="000000"/>
                <w:szCs w:val="21"/>
              </w:rPr>
              <w:t>-</w:t>
            </w:r>
            <w:r w:rsidRPr="00FA2B5B">
              <w:rPr>
                <w:color w:val="000000"/>
                <w:szCs w:val="21"/>
              </w:rPr>
              <w:t>合理费用</w:t>
            </w:r>
          </w:p>
          <w:p w:rsidR="00911E61" w:rsidRPr="00FA2B5B" w:rsidRDefault="00911E61" w:rsidP="00204220">
            <w:pPr>
              <w:rPr>
                <w:color w:val="000000"/>
                <w:szCs w:val="21"/>
              </w:rPr>
            </w:pPr>
            <w:r w:rsidRPr="00FA2B5B">
              <w:rPr>
                <w:color w:val="000000"/>
                <w:szCs w:val="21"/>
              </w:rPr>
              <w:t>（</w:t>
            </w:r>
            <w:r w:rsidRPr="00FA2B5B">
              <w:rPr>
                <w:color w:val="000000"/>
                <w:szCs w:val="21"/>
              </w:rPr>
              <w:t>2</w:t>
            </w:r>
            <w:r w:rsidRPr="00FA2B5B">
              <w:rPr>
                <w:color w:val="000000"/>
                <w:szCs w:val="21"/>
              </w:rPr>
              <w:t>）受赠人转让无偿赠与的不动产：收入总额</w:t>
            </w:r>
            <w:r w:rsidRPr="00FA2B5B">
              <w:rPr>
                <w:color w:val="000000"/>
                <w:szCs w:val="21"/>
              </w:rPr>
              <w:t>-</w:t>
            </w:r>
            <w:r w:rsidRPr="00FA2B5B">
              <w:rPr>
                <w:color w:val="000000"/>
                <w:szCs w:val="21"/>
              </w:rPr>
              <w:t>受赠、转让住房过程中缴纳的税金及有关合理费用</w:t>
            </w:r>
          </w:p>
        </w:tc>
        <w:tc>
          <w:tcPr>
            <w:tcW w:w="1230" w:type="pct"/>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×20%</w:t>
            </w:r>
          </w:p>
        </w:tc>
      </w:tr>
    </w:tbl>
    <w:p w:rsidR="00911E61" w:rsidRPr="00FA2B5B" w:rsidRDefault="00911E61" w:rsidP="00911E61">
      <w:pPr>
        <w:spacing w:line="360" w:lineRule="auto"/>
        <w:rPr>
          <w:vanish/>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1651"/>
        <w:gridCol w:w="488"/>
        <w:gridCol w:w="1490"/>
        <w:gridCol w:w="2232"/>
      </w:tblGrid>
      <w:tr w:rsidR="00911E61" w:rsidRPr="00FA2B5B" w:rsidTr="00204220">
        <w:trPr>
          <w:trHeight w:val="567"/>
          <w:jc w:val="center"/>
        </w:trPr>
        <w:tc>
          <w:tcPr>
            <w:tcW w:w="1770" w:type="pct"/>
            <w:vAlign w:val="center"/>
          </w:tcPr>
          <w:p w:rsidR="00911E61" w:rsidRPr="00FA2B5B" w:rsidRDefault="00911E61" w:rsidP="00204220">
            <w:pPr>
              <w:rPr>
                <w:b/>
                <w:color w:val="000000"/>
                <w:szCs w:val="21"/>
              </w:rPr>
            </w:pPr>
            <w:r w:rsidRPr="00FA2B5B">
              <w:rPr>
                <w:b/>
                <w:color w:val="000000"/>
                <w:szCs w:val="21"/>
              </w:rPr>
              <w:t>7.</w:t>
            </w:r>
            <w:r w:rsidRPr="00FA2B5B">
              <w:rPr>
                <w:b/>
                <w:color w:val="000000"/>
                <w:szCs w:val="21"/>
              </w:rPr>
              <w:t>利息、股息、红利所得</w:t>
            </w:r>
          </w:p>
        </w:tc>
        <w:tc>
          <w:tcPr>
            <w:tcW w:w="910" w:type="pct"/>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269" w:type="pct"/>
            <w:vAlign w:val="center"/>
          </w:tcPr>
          <w:p w:rsidR="00911E61" w:rsidRPr="00FA2B5B" w:rsidRDefault="00911E61" w:rsidP="00204220">
            <w:pPr>
              <w:jc w:val="center"/>
              <w:rPr>
                <w:color w:val="000000"/>
                <w:szCs w:val="21"/>
              </w:rPr>
            </w:pPr>
            <w:r w:rsidRPr="00FA2B5B">
              <w:rPr>
                <w:color w:val="000000"/>
                <w:szCs w:val="21"/>
              </w:rPr>
              <w:t>次</w:t>
            </w:r>
          </w:p>
        </w:tc>
        <w:tc>
          <w:tcPr>
            <w:tcW w:w="821" w:type="pct"/>
            <w:vMerge w:val="restart"/>
            <w:vAlign w:val="center"/>
          </w:tcPr>
          <w:p w:rsidR="00911E61" w:rsidRPr="00FA2B5B" w:rsidRDefault="00911E61" w:rsidP="00204220">
            <w:pPr>
              <w:jc w:val="center"/>
              <w:rPr>
                <w:color w:val="000000"/>
                <w:szCs w:val="21"/>
              </w:rPr>
            </w:pPr>
            <w:r w:rsidRPr="00FA2B5B">
              <w:rPr>
                <w:color w:val="000000"/>
                <w:szCs w:val="21"/>
              </w:rPr>
              <w:t>每次收入额</w:t>
            </w:r>
          </w:p>
        </w:tc>
        <w:tc>
          <w:tcPr>
            <w:tcW w:w="1230" w:type="pct"/>
            <w:vMerge w:val="restart"/>
            <w:vAlign w:val="center"/>
          </w:tcPr>
          <w:p w:rsidR="00911E61" w:rsidRPr="00FA2B5B" w:rsidRDefault="00911E61" w:rsidP="00204220">
            <w:pPr>
              <w:jc w:val="center"/>
              <w:rPr>
                <w:color w:val="000000"/>
                <w:szCs w:val="21"/>
              </w:rPr>
            </w:pPr>
            <w:r w:rsidRPr="00FA2B5B">
              <w:rPr>
                <w:color w:val="000000"/>
                <w:szCs w:val="21"/>
              </w:rPr>
              <w:t>应纳税所得额</w:t>
            </w:r>
            <w:r w:rsidRPr="00FA2B5B">
              <w:rPr>
                <w:color w:val="000000"/>
                <w:szCs w:val="21"/>
              </w:rPr>
              <w:t>×20%</w:t>
            </w:r>
          </w:p>
        </w:tc>
      </w:tr>
      <w:tr w:rsidR="00911E61" w:rsidRPr="00FA2B5B" w:rsidTr="00204220">
        <w:trPr>
          <w:trHeight w:val="567"/>
          <w:jc w:val="center"/>
        </w:trPr>
        <w:tc>
          <w:tcPr>
            <w:tcW w:w="1770" w:type="pct"/>
            <w:vAlign w:val="center"/>
          </w:tcPr>
          <w:p w:rsidR="00911E61" w:rsidRPr="00FA2B5B" w:rsidRDefault="00911E61" w:rsidP="00204220">
            <w:pPr>
              <w:rPr>
                <w:b/>
                <w:color w:val="000000"/>
                <w:szCs w:val="21"/>
              </w:rPr>
            </w:pPr>
            <w:r w:rsidRPr="00FA2B5B">
              <w:rPr>
                <w:b/>
                <w:color w:val="000000"/>
                <w:szCs w:val="21"/>
              </w:rPr>
              <w:t>8.</w:t>
            </w:r>
            <w:r w:rsidRPr="00FA2B5B">
              <w:rPr>
                <w:b/>
                <w:color w:val="000000"/>
                <w:szCs w:val="21"/>
              </w:rPr>
              <w:t>偶然所得</w:t>
            </w:r>
          </w:p>
        </w:tc>
        <w:tc>
          <w:tcPr>
            <w:tcW w:w="910" w:type="pct"/>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269" w:type="pct"/>
            <w:vAlign w:val="center"/>
          </w:tcPr>
          <w:p w:rsidR="00911E61" w:rsidRPr="00FA2B5B" w:rsidRDefault="00911E61" w:rsidP="00204220">
            <w:pPr>
              <w:jc w:val="center"/>
              <w:rPr>
                <w:color w:val="000000"/>
                <w:szCs w:val="21"/>
              </w:rPr>
            </w:pPr>
            <w:r w:rsidRPr="00FA2B5B">
              <w:rPr>
                <w:color w:val="000000"/>
                <w:szCs w:val="21"/>
              </w:rPr>
              <w:t>次</w:t>
            </w:r>
          </w:p>
        </w:tc>
        <w:tc>
          <w:tcPr>
            <w:tcW w:w="821" w:type="pct"/>
            <w:vMerge/>
          </w:tcPr>
          <w:p w:rsidR="00911E61" w:rsidRPr="00FA2B5B" w:rsidRDefault="00911E61" w:rsidP="00204220">
            <w:pPr>
              <w:rPr>
                <w:color w:val="000000"/>
                <w:szCs w:val="21"/>
              </w:rPr>
            </w:pPr>
          </w:p>
        </w:tc>
        <w:tc>
          <w:tcPr>
            <w:tcW w:w="1230" w:type="pct"/>
            <w:vMerge/>
          </w:tcPr>
          <w:p w:rsidR="00911E61" w:rsidRPr="00FA2B5B" w:rsidRDefault="00911E61" w:rsidP="00204220">
            <w:pPr>
              <w:rPr>
                <w:color w:val="000000"/>
                <w:szCs w:val="21"/>
              </w:rPr>
            </w:pPr>
          </w:p>
        </w:tc>
      </w:tr>
      <w:tr w:rsidR="00911E61" w:rsidRPr="00FA2B5B" w:rsidTr="00204220">
        <w:trPr>
          <w:trHeight w:val="567"/>
          <w:jc w:val="center"/>
        </w:trPr>
        <w:tc>
          <w:tcPr>
            <w:tcW w:w="1770" w:type="pct"/>
            <w:vAlign w:val="center"/>
          </w:tcPr>
          <w:p w:rsidR="00911E61" w:rsidRPr="00FA2B5B" w:rsidRDefault="00911E61" w:rsidP="00204220">
            <w:pPr>
              <w:rPr>
                <w:b/>
                <w:color w:val="000000"/>
                <w:szCs w:val="21"/>
              </w:rPr>
            </w:pPr>
            <w:r w:rsidRPr="00FA2B5B">
              <w:rPr>
                <w:b/>
                <w:color w:val="000000"/>
                <w:szCs w:val="21"/>
              </w:rPr>
              <w:t>9.</w:t>
            </w:r>
            <w:r w:rsidRPr="00FA2B5B">
              <w:rPr>
                <w:b/>
                <w:color w:val="000000"/>
                <w:szCs w:val="21"/>
              </w:rPr>
              <w:t>其他所得</w:t>
            </w:r>
          </w:p>
        </w:tc>
        <w:tc>
          <w:tcPr>
            <w:tcW w:w="910" w:type="pct"/>
            <w:vAlign w:val="center"/>
          </w:tcPr>
          <w:p w:rsidR="00911E61" w:rsidRPr="00FA2B5B" w:rsidRDefault="00911E61" w:rsidP="00204220">
            <w:pPr>
              <w:jc w:val="center"/>
              <w:rPr>
                <w:color w:val="000000"/>
                <w:szCs w:val="21"/>
              </w:rPr>
            </w:pPr>
            <w:r w:rsidRPr="00FA2B5B">
              <w:rPr>
                <w:color w:val="000000"/>
                <w:szCs w:val="21"/>
              </w:rPr>
              <w:t>20%</w:t>
            </w:r>
            <w:r w:rsidRPr="00FA2B5B">
              <w:rPr>
                <w:color w:val="000000"/>
                <w:szCs w:val="21"/>
              </w:rPr>
              <w:t>比例税率</w:t>
            </w:r>
          </w:p>
        </w:tc>
        <w:tc>
          <w:tcPr>
            <w:tcW w:w="269" w:type="pct"/>
            <w:vAlign w:val="center"/>
          </w:tcPr>
          <w:p w:rsidR="00911E61" w:rsidRPr="00FA2B5B" w:rsidRDefault="00911E61" w:rsidP="00204220">
            <w:pPr>
              <w:jc w:val="center"/>
              <w:rPr>
                <w:color w:val="000000"/>
                <w:szCs w:val="21"/>
              </w:rPr>
            </w:pPr>
            <w:r w:rsidRPr="00FA2B5B">
              <w:rPr>
                <w:color w:val="000000"/>
                <w:szCs w:val="21"/>
              </w:rPr>
              <w:t>次</w:t>
            </w:r>
          </w:p>
        </w:tc>
        <w:tc>
          <w:tcPr>
            <w:tcW w:w="821" w:type="pct"/>
            <w:vMerge/>
          </w:tcPr>
          <w:p w:rsidR="00911E61" w:rsidRPr="00FA2B5B" w:rsidRDefault="00911E61" w:rsidP="00204220">
            <w:pPr>
              <w:rPr>
                <w:color w:val="000000"/>
                <w:szCs w:val="21"/>
              </w:rPr>
            </w:pPr>
          </w:p>
        </w:tc>
        <w:tc>
          <w:tcPr>
            <w:tcW w:w="1230" w:type="pct"/>
            <w:vMerge/>
          </w:tcPr>
          <w:p w:rsidR="00911E61" w:rsidRPr="00FA2B5B" w:rsidRDefault="00911E61" w:rsidP="00204220">
            <w:pPr>
              <w:rPr>
                <w:color w:val="000000"/>
                <w:szCs w:val="21"/>
              </w:rPr>
            </w:pPr>
          </w:p>
        </w:tc>
      </w:tr>
    </w:tbl>
    <w:p w:rsidR="00911E61" w:rsidRDefault="00911E61" w:rsidP="00911E61">
      <w:pPr>
        <w:pStyle w:val="a5"/>
        <w:spacing w:line="360" w:lineRule="auto"/>
        <w:ind w:firstLine="482"/>
        <w:rPr>
          <w:rFonts w:ascii="Times New Roman" w:hAnsi="Times New Roman" w:hint="eastAsia"/>
          <w:b/>
          <w:color w:val="000000"/>
          <w:sz w:val="24"/>
          <w:szCs w:val="24"/>
        </w:rPr>
      </w:pPr>
    </w:p>
    <w:p w:rsidR="00911E61" w:rsidRPr="00FA2B5B" w:rsidRDefault="00911E61" w:rsidP="00911E61">
      <w:pPr>
        <w:pStyle w:val="a5"/>
        <w:spacing w:line="360" w:lineRule="auto"/>
        <w:ind w:firstLine="482"/>
        <w:rPr>
          <w:rFonts w:ascii="Times New Roman" w:hAnsi="Times New Roman"/>
          <w:b/>
          <w:color w:val="000000"/>
          <w:sz w:val="24"/>
          <w:szCs w:val="24"/>
        </w:rPr>
      </w:pPr>
      <w:r w:rsidRPr="00FA2B5B">
        <w:rPr>
          <w:rFonts w:ascii="Times New Roman" w:hAnsi="Times New Roman"/>
          <w:b/>
          <w:color w:val="000000"/>
          <w:sz w:val="24"/>
          <w:szCs w:val="24"/>
        </w:rPr>
        <w:t>（</w:t>
      </w:r>
      <w:r w:rsidRPr="00FA2B5B">
        <w:rPr>
          <w:rFonts w:ascii="Times New Roman" w:hAnsi="Times New Roman"/>
          <w:b/>
          <w:color w:val="000000"/>
          <w:sz w:val="24"/>
          <w:szCs w:val="24"/>
        </w:rPr>
        <w:t>1</w:t>
      </w:r>
      <w:r w:rsidRPr="00FA2B5B">
        <w:rPr>
          <w:rFonts w:ascii="Times New Roman" w:hAnsi="Times New Roman"/>
          <w:b/>
          <w:color w:val="000000"/>
          <w:sz w:val="24"/>
          <w:szCs w:val="24"/>
        </w:rPr>
        <w:t>）工资、薪金应纳税额的计算</w:t>
      </w:r>
    </w:p>
    <w:p w:rsidR="00911E61" w:rsidRPr="00FA2B5B" w:rsidRDefault="00911E61" w:rsidP="00911E61">
      <w:pPr>
        <w:spacing w:line="360" w:lineRule="auto"/>
        <w:ind w:firstLineChars="200" w:firstLine="480"/>
        <w:rPr>
          <w:color w:val="000000"/>
          <w:sz w:val="24"/>
        </w:rPr>
      </w:pPr>
      <w:r w:rsidRPr="00FA2B5B">
        <w:rPr>
          <w:color w:val="000000"/>
          <w:sz w:val="24"/>
        </w:rPr>
        <w:lastRenderedPageBreak/>
        <w:t>工资、薪金所得，是指个人因</w:t>
      </w:r>
      <w:r w:rsidRPr="00FA2B5B">
        <w:rPr>
          <w:b/>
          <w:color w:val="000000"/>
          <w:sz w:val="24"/>
        </w:rPr>
        <w:t>任职或者受雇</w:t>
      </w:r>
      <w:r w:rsidRPr="00FA2B5B">
        <w:rPr>
          <w:color w:val="000000"/>
          <w:sz w:val="24"/>
        </w:rPr>
        <w:t>而取得的工资、薪金、奖金、年终加薪、劳动分红、津贴、补贴以及与任职或者受雇有关的其他所得。</w:t>
      </w:r>
    </w:p>
    <w:p w:rsidR="00911E61" w:rsidRPr="00FA2B5B" w:rsidRDefault="00911E61" w:rsidP="00911E61">
      <w:pPr>
        <w:spacing w:line="360" w:lineRule="auto"/>
        <w:ind w:firstLineChars="200" w:firstLine="482"/>
        <w:rPr>
          <w:color w:val="000000"/>
          <w:sz w:val="24"/>
        </w:rPr>
      </w:pPr>
      <w:r w:rsidRPr="00FA2B5B">
        <w:rPr>
          <w:b/>
          <w:color w:val="000000"/>
          <w:sz w:val="24"/>
        </w:rPr>
        <w:t>①</w:t>
      </w:r>
      <w:r w:rsidRPr="00FA2B5B">
        <w:rPr>
          <w:color w:val="000000"/>
          <w:sz w:val="24"/>
        </w:rPr>
        <w:t>个人取得全年一次性奖金计税方法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4212"/>
        <w:gridCol w:w="3688"/>
      </w:tblGrid>
      <w:tr w:rsidR="00911E61" w:rsidRPr="00FA2B5B" w:rsidTr="00204220">
        <w:trPr>
          <w:trHeight w:val="614"/>
          <w:jc w:val="center"/>
        </w:trPr>
        <w:tc>
          <w:tcPr>
            <w:tcW w:w="0" w:type="auto"/>
            <w:vAlign w:val="center"/>
          </w:tcPr>
          <w:p w:rsidR="00911E61" w:rsidRPr="00FA2B5B" w:rsidRDefault="00911E61" w:rsidP="00204220">
            <w:pPr>
              <w:jc w:val="center"/>
              <w:rPr>
                <w:color w:val="000000"/>
                <w:szCs w:val="21"/>
              </w:rPr>
            </w:pPr>
          </w:p>
        </w:tc>
        <w:tc>
          <w:tcPr>
            <w:tcW w:w="0" w:type="auto"/>
            <w:vAlign w:val="center"/>
          </w:tcPr>
          <w:p w:rsidR="00911E61" w:rsidRPr="00FA2B5B" w:rsidRDefault="00911E61" w:rsidP="00204220">
            <w:pPr>
              <w:jc w:val="center"/>
              <w:rPr>
                <w:b/>
                <w:color w:val="000000"/>
                <w:szCs w:val="21"/>
              </w:rPr>
            </w:pPr>
            <w:r w:rsidRPr="00FA2B5B">
              <w:rPr>
                <w:b/>
                <w:color w:val="000000"/>
                <w:szCs w:val="21"/>
              </w:rPr>
              <w:t>确定税率和速算扣除数</w:t>
            </w:r>
          </w:p>
        </w:tc>
        <w:tc>
          <w:tcPr>
            <w:tcW w:w="0" w:type="auto"/>
            <w:vAlign w:val="center"/>
          </w:tcPr>
          <w:p w:rsidR="00911E61" w:rsidRPr="00FA2B5B" w:rsidRDefault="00911E61" w:rsidP="00204220">
            <w:pPr>
              <w:jc w:val="center"/>
              <w:rPr>
                <w:b/>
                <w:color w:val="000000"/>
                <w:szCs w:val="21"/>
              </w:rPr>
            </w:pPr>
            <w:r w:rsidRPr="00FA2B5B">
              <w:rPr>
                <w:b/>
                <w:color w:val="000000"/>
                <w:szCs w:val="21"/>
              </w:rPr>
              <w:t>计算应纳税额</w:t>
            </w:r>
          </w:p>
        </w:tc>
      </w:tr>
      <w:tr w:rsidR="00911E61" w:rsidRPr="00FA2B5B" w:rsidTr="00204220">
        <w:trPr>
          <w:trHeight w:val="1229"/>
          <w:jc w:val="center"/>
        </w:trPr>
        <w:tc>
          <w:tcPr>
            <w:tcW w:w="0" w:type="auto"/>
            <w:vAlign w:val="center"/>
          </w:tcPr>
          <w:p w:rsidR="00911E61" w:rsidRPr="00FA2B5B" w:rsidRDefault="00911E61" w:rsidP="00204220">
            <w:pPr>
              <w:rPr>
                <w:color w:val="000000"/>
                <w:szCs w:val="21"/>
              </w:rPr>
            </w:pPr>
            <w:r w:rsidRPr="00FA2B5B">
              <w:rPr>
                <w:color w:val="000000"/>
                <w:szCs w:val="21"/>
              </w:rPr>
              <w:t>1.</w:t>
            </w:r>
            <w:r w:rsidRPr="00FA2B5B">
              <w:rPr>
                <w:color w:val="000000"/>
                <w:szCs w:val="21"/>
              </w:rPr>
              <w:t>当月工资</w:t>
            </w:r>
            <w:r w:rsidRPr="00FA2B5B">
              <w:rPr>
                <w:rStyle w:val="font14zd"/>
                <w:color w:val="000000"/>
                <w:szCs w:val="21"/>
              </w:rPr>
              <w:t>超过</w:t>
            </w:r>
            <w:r w:rsidRPr="00FA2B5B">
              <w:rPr>
                <w:color w:val="000000"/>
                <w:szCs w:val="21"/>
              </w:rPr>
              <w:t>费用扣除额</w:t>
            </w:r>
          </w:p>
        </w:tc>
        <w:tc>
          <w:tcPr>
            <w:tcW w:w="0" w:type="auto"/>
            <w:vAlign w:val="center"/>
          </w:tcPr>
          <w:p w:rsidR="00911E61" w:rsidRPr="00FA2B5B" w:rsidRDefault="00911E61" w:rsidP="00204220">
            <w:pPr>
              <w:rPr>
                <w:color w:val="000000"/>
                <w:szCs w:val="21"/>
              </w:rPr>
            </w:pPr>
            <w:r w:rsidRPr="00FA2B5B">
              <w:rPr>
                <w:color w:val="000000"/>
                <w:szCs w:val="21"/>
              </w:rPr>
              <w:t>将全年一次性奖金，除以</w:t>
            </w:r>
            <w:r w:rsidRPr="00FA2B5B">
              <w:rPr>
                <w:color w:val="000000"/>
                <w:szCs w:val="21"/>
              </w:rPr>
              <w:t>12</w:t>
            </w:r>
            <w:r w:rsidRPr="00FA2B5B">
              <w:rPr>
                <w:color w:val="000000"/>
                <w:szCs w:val="21"/>
              </w:rPr>
              <w:t>个月，按其商数确定适用税率和速算扣除数。</w:t>
            </w:r>
          </w:p>
        </w:tc>
        <w:tc>
          <w:tcPr>
            <w:tcW w:w="0" w:type="auto"/>
            <w:vAlign w:val="center"/>
          </w:tcPr>
          <w:p w:rsidR="00911E61" w:rsidRPr="00FA2B5B" w:rsidRDefault="00911E61" w:rsidP="00204220">
            <w:pPr>
              <w:rPr>
                <w:color w:val="000000"/>
                <w:szCs w:val="21"/>
              </w:rPr>
            </w:pPr>
            <w:r w:rsidRPr="00FA2B5B">
              <w:rPr>
                <w:color w:val="000000"/>
                <w:szCs w:val="21"/>
              </w:rPr>
              <w:t>应纳税额</w:t>
            </w:r>
            <w:r w:rsidRPr="00FA2B5B">
              <w:rPr>
                <w:color w:val="000000"/>
                <w:szCs w:val="21"/>
              </w:rPr>
              <w:t>=</w:t>
            </w:r>
            <w:r w:rsidRPr="00FA2B5B">
              <w:rPr>
                <w:color w:val="000000"/>
                <w:szCs w:val="21"/>
              </w:rPr>
              <w:t>雇员当月取得全年一次性奖金</w:t>
            </w:r>
            <w:r w:rsidRPr="00FA2B5B">
              <w:rPr>
                <w:color w:val="000000"/>
                <w:szCs w:val="21"/>
              </w:rPr>
              <w:t>×</w:t>
            </w:r>
            <w:r w:rsidRPr="00FA2B5B">
              <w:rPr>
                <w:color w:val="000000"/>
                <w:szCs w:val="21"/>
              </w:rPr>
              <w:t>适用税率－速算扣除数</w:t>
            </w:r>
          </w:p>
        </w:tc>
      </w:tr>
      <w:tr w:rsidR="00911E61" w:rsidRPr="00FA2B5B" w:rsidTr="00204220">
        <w:trPr>
          <w:trHeight w:val="1541"/>
          <w:jc w:val="center"/>
        </w:trPr>
        <w:tc>
          <w:tcPr>
            <w:tcW w:w="0" w:type="auto"/>
            <w:vAlign w:val="center"/>
          </w:tcPr>
          <w:p w:rsidR="00911E61" w:rsidRPr="00FA2B5B" w:rsidRDefault="00911E61" w:rsidP="00204220">
            <w:pPr>
              <w:rPr>
                <w:color w:val="000000"/>
                <w:szCs w:val="21"/>
              </w:rPr>
            </w:pPr>
            <w:r w:rsidRPr="00FA2B5B">
              <w:rPr>
                <w:color w:val="000000"/>
                <w:szCs w:val="21"/>
              </w:rPr>
              <w:t>2.</w:t>
            </w:r>
            <w:r w:rsidRPr="00FA2B5B">
              <w:rPr>
                <w:color w:val="000000"/>
                <w:szCs w:val="21"/>
              </w:rPr>
              <w:t>当月工资</w:t>
            </w:r>
            <w:r w:rsidRPr="00FA2B5B">
              <w:rPr>
                <w:rStyle w:val="font14zd"/>
                <w:color w:val="000000"/>
                <w:szCs w:val="21"/>
              </w:rPr>
              <w:t>未超过</w:t>
            </w:r>
            <w:r w:rsidRPr="00FA2B5B">
              <w:rPr>
                <w:color w:val="000000"/>
                <w:szCs w:val="21"/>
              </w:rPr>
              <w:t>费用扣除额</w:t>
            </w:r>
          </w:p>
        </w:tc>
        <w:tc>
          <w:tcPr>
            <w:tcW w:w="0" w:type="auto"/>
            <w:vAlign w:val="center"/>
          </w:tcPr>
          <w:p w:rsidR="00911E61" w:rsidRPr="00FA2B5B" w:rsidRDefault="00911E61" w:rsidP="00204220">
            <w:pPr>
              <w:rPr>
                <w:color w:val="000000"/>
                <w:szCs w:val="21"/>
              </w:rPr>
            </w:pPr>
            <w:r w:rsidRPr="00FA2B5B">
              <w:rPr>
                <w:color w:val="000000"/>
                <w:szCs w:val="21"/>
              </w:rPr>
              <w:t>将全年一次性奖金减除</w:t>
            </w:r>
            <w:r w:rsidRPr="00FA2B5B">
              <w:rPr>
                <w:color w:val="000000"/>
                <w:szCs w:val="21"/>
              </w:rPr>
              <w:t>“</w:t>
            </w:r>
            <w:r w:rsidRPr="00FA2B5B">
              <w:rPr>
                <w:color w:val="000000"/>
                <w:szCs w:val="21"/>
              </w:rPr>
              <w:t>雇员当月工资薪金所得与费用扣除额的差额</w:t>
            </w:r>
            <w:r w:rsidRPr="00FA2B5B">
              <w:rPr>
                <w:color w:val="000000"/>
                <w:szCs w:val="21"/>
              </w:rPr>
              <w:t>”</w:t>
            </w:r>
            <w:r w:rsidRPr="00FA2B5B">
              <w:rPr>
                <w:color w:val="000000"/>
                <w:szCs w:val="21"/>
              </w:rPr>
              <w:t>后的余额，除以</w:t>
            </w:r>
            <w:r w:rsidRPr="00FA2B5B">
              <w:rPr>
                <w:color w:val="000000"/>
                <w:szCs w:val="21"/>
              </w:rPr>
              <w:t>12</w:t>
            </w:r>
            <w:r w:rsidRPr="00FA2B5B">
              <w:rPr>
                <w:color w:val="000000"/>
                <w:szCs w:val="21"/>
              </w:rPr>
              <w:t>个月，按其商数确定适用税率和速算扣除数。</w:t>
            </w:r>
          </w:p>
        </w:tc>
        <w:tc>
          <w:tcPr>
            <w:tcW w:w="0" w:type="auto"/>
            <w:vAlign w:val="center"/>
          </w:tcPr>
          <w:p w:rsidR="00911E61" w:rsidRPr="00FA2B5B" w:rsidRDefault="00911E61" w:rsidP="00204220">
            <w:pPr>
              <w:rPr>
                <w:color w:val="000000"/>
                <w:szCs w:val="21"/>
              </w:rPr>
            </w:pPr>
            <w:r w:rsidRPr="00FA2B5B">
              <w:rPr>
                <w:color w:val="000000"/>
                <w:szCs w:val="21"/>
              </w:rPr>
              <w:t>应纳税额</w:t>
            </w:r>
            <w:r w:rsidRPr="00FA2B5B">
              <w:rPr>
                <w:color w:val="000000"/>
                <w:szCs w:val="21"/>
              </w:rPr>
              <w:t>=</w:t>
            </w:r>
            <w:r w:rsidRPr="00FA2B5B">
              <w:rPr>
                <w:color w:val="000000"/>
                <w:szCs w:val="21"/>
              </w:rPr>
              <w:t>（雇员当月取得全年一次性奖金－雇员当月工资薪金所得与费用扣除额的差额）</w:t>
            </w:r>
            <w:r w:rsidRPr="00FA2B5B">
              <w:rPr>
                <w:color w:val="000000"/>
                <w:szCs w:val="21"/>
              </w:rPr>
              <w:t>×</w:t>
            </w:r>
            <w:r w:rsidRPr="00FA2B5B">
              <w:rPr>
                <w:color w:val="000000"/>
                <w:szCs w:val="21"/>
              </w:rPr>
              <w:t>适用税率－速算扣除数</w:t>
            </w:r>
          </w:p>
        </w:tc>
      </w:tr>
    </w:tbl>
    <w:p w:rsidR="00911E61" w:rsidRPr="00AA5F01" w:rsidRDefault="00911E61" w:rsidP="00911E61">
      <w:pPr>
        <w:spacing w:beforeLines="20" w:before="62" w:line="360" w:lineRule="auto"/>
        <w:rPr>
          <w:rFonts w:ascii="宋体" w:hAnsi="宋体" w:hint="eastAsia"/>
          <w:color w:val="000000"/>
          <w:sz w:val="24"/>
        </w:rPr>
      </w:pPr>
      <w:r w:rsidRPr="00AA5F01">
        <w:rPr>
          <w:rFonts w:ascii="宋体" w:hAnsi="宋体" w:hint="eastAsia"/>
          <w:color w:val="000000"/>
          <w:sz w:val="24"/>
        </w:rPr>
        <w:t>注意：</w:t>
      </w:r>
    </w:p>
    <w:p w:rsidR="00911E61" w:rsidRPr="00AA5F01" w:rsidRDefault="00911E61" w:rsidP="00911E61">
      <w:pPr>
        <w:spacing w:line="360" w:lineRule="auto"/>
        <w:ind w:firstLineChars="200" w:firstLine="480"/>
        <w:rPr>
          <w:rFonts w:ascii="宋体" w:hAnsi="宋体" w:hint="eastAsia"/>
          <w:color w:val="000000"/>
          <w:sz w:val="24"/>
        </w:rPr>
      </w:pPr>
      <w:r w:rsidRPr="00AA5F01">
        <w:rPr>
          <w:rFonts w:ascii="宋体" w:hAnsi="宋体" w:hint="eastAsia"/>
          <w:color w:val="000000"/>
          <w:sz w:val="24"/>
        </w:rPr>
        <w:t>a.一个纳税年度内，对每一个纳税人，上述计税办法只允许采用一次。</w:t>
      </w:r>
    </w:p>
    <w:p w:rsidR="00911E61" w:rsidRPr="00AA5F01" w:rsidRDefault="00911E61" w:rsidP="00911E61">
      <w:pPr>
        <w:spacing w:line="360" w:lineRule="auto"/>
        <w:ind w:firstLineChars="200" w:firstLine="480"/>
        <w:rPr>
          <w:rFonts w:ascii="宋体" w:hAnsi="宋体" w:hint="eastAsia"/>
          <w:color w:val="000000"/>
          <w:sz w:val="24"/>
        </w:rPr>
      </w:pPr>
      <w:r w:rsidRPr="00AA5F01">
        <w:rPr>
          <w:rFonts w:ascii="宋体" w:hAnsi="宋体" w:hint="eastAsia"/>
          <w:color w:val="000000"/>
          <w:sz w:val="24"/>
        </w:rPr>
        <w:t>b.雇员取得除全年一次性奖金以外的其他各种名目奖金，如半年奖、季度奖、加班奖、先进奖、考勤奖等，一律与当月工资、薪金收入合并，按税法规定缴纳个人所得税。</w:t>
      </w:r>
    </w:p>
    <w:p w:rsidR="00911E61" w:rsidRPr="00AA5F01" w:rsidRDefault="00911E61" w:rsidP="00911E61">
      <w:pPr>
        <w:spacing w:line="360" w:lineRule="auto"/>
        <w:ind w:firstLineChars="200" w:firstLine="480"/>
        <w:rPr>
          <w:rFonts w:ascii="宋体" w:hAnsi="宋体" w:hint="eastAsia"/>
          <w:color w:val="000000"/>
          <w:sz w:val="24"/>
        </w:rPr>
      </w:pPr>
    </w:p>
    <w:p w:rsidR="00911E61" w:rsidRPr="00FA2B5B" w:rsidRDefault="00911E61" w:rsidP="00911E61">
      <w:pPr>
        <w:spacing w:line="360" w:lineRule="auto"/>
        <w:ind w:firstLineChars="147" w:firstLine="354"/>
        <w:rPr>
          <w:color w:val="000000"/>
          <w:sz w:val="24"/>
        </w:rPr>
      </w:pPr>
      <w:r w:rsidRPr="00FA2B5B">
        <w:rPr>
          <w:b/>
          <w:bCs/>
          <w:sz w:val="24"/>
        </w:rPr>
        <w:t>（</w:t>
      </w:r>
      <w:r w:rsidRPr="00FA2B5B">
        <w:rPr>
          <w:b/>
          <w:bCs/>
          <w:sz w:val="24"/>
        </w:rPr>
        <w:t>2</w:t>
      </w:r>
      <w:r w:rsidRPr="00FA2B5B">
        <w:rPr>
          <w:b/>
          <w:bCs/>
          <w:sz w:val="24"/>
        </w:rPr>
        <w:t>）</w:t>
      </w:r>
      <w:r w:rsidRPr="00FA2B5B">
        <w:rPr>
          <w:b/>
          <w:color w:val="000000"/>
          <w:sz w:val="24"/>
        </w:rPr>
        <w:t>劳务报酬所得应纳税额的计算</w:t>
      </w:r>
    </w:p>
    <w:p w:rsidR="00911E61" w:rsidRPr="00FA2B5B" w:rsidRDefault="00911E61" w:rsidP="00911E61">
      <w:pPr>
        <w:spacing w:line="360" w:lineRule="auto"/>
        <w:ind w:firstLineChars="200" w:firstLine="480"/>
        <w:rPr>
          <w:color w:val="000000"/>
          <w:sz w:val="24"/>
        </w:rPr>
      </w:pPr>
      <w:r w:rsidRPr="00FA2B5B">
        <w:rPr>
          <w:color w:val="000000"/>
          <w:sz w:val="24"/>
        </w:rPr>
        <w:t>劳务报酬所得，是指个人从事设计、装潢、安装、制图、化验、测试、医疗、法律、会计、咨询、讲学、新闻、广播、翻译、审稿、书画、雕刻、影视、录音、录像、演出、表演、广告、展览、技术服务、介绍服务、经纪服务、代办服务以及其他劳务取得的所得。</w:t>
      </w:r>
    </w:p>
    <w:p w:rsidR="00911E61" w:rsidRDefault="00911E61" w:rsidP="00911E61">
      <w:pPr>
        <w:spacing w:line="360" w:lineRule="auto"/>
        <w:ind w:firstLineChars="196" w:firstLine="413"/>
        <w:rPr>
          <w:rFonts w:hint="eastAsia"/>
          <w:color w:val="000000"/>
          <w:sz w:val="24"/>
        </w:rPr>
      </w:pPr>
      <w:r w:rsidRPr="00FA2B5B">
        <w:rPr>
          <w:b/>
          <w:color w:val="000000"/>
          <w:szCs w:val="21"/>
        </w:rPr>
        <w:t>（</w:t>
      </w:r>
      <w:r w:rsidRPr="00FA2B5B">
        <w:rPr>
          <w:b/>
          <w:color w:val="000000"/>
          <w:sz w:val="24"/>
        </w:rPr>
        <w:t>3</w:t>
      </w:r>
      <w:r w:rsidRPr="00FA2B5B">
        <w:rPr>
          <w:b/>
          <w:color w:val="000000"/>
          <w:sz w:val="24"/>
        </w:rPr>
        <w:t>）捐赠扣除：</w:t>
      </w:r>
      <w:r w:rsidRPr="00FA2B5B">
        <w:rPr>
          <w:b/>
          <w:color w:val="000000"/>
          <w:sz w:val="24"/>
        </w:rPr>
        <w:t>①</w:t>
      </w:r>
      <w:r w:rsidRPr="00FA2B5B">
        <w:rPr>
          <w:color w:val="000000"/>
          <w:sz w:val="24"/>
        </w:rPr>
        <w:t>限额扣除：纳税义务人申报的应纳税所得额</w:t>
      </w:r>
      <w:r w:rsidRPr="00FA2B5B">
        <w:rPr>
          <w:color w:val="000000"/>
          <w:sz w:val="24"/>
        </w:rPr>
        <w:t>30%</w:t>
      </w:r>
      <w:r w:rsidRPr="00FA2B5B">
        <w:rPr>
          <w:color w:val="000000"/>
          <w:sz w:val="24"/>
        </w:rPr>
        <w:t>的部分；</w:t>
      </w:r>
      <w:r w:rsidRPr="00FA2B5B">
        <w:rPr>
          <w:b/>
          <w:bCs/>
          <w:sz w:val="24"/>
        </w:rPr>
        <w:t>②</w:t>
      </w:r>
      <w:r w:rsidRPr="00FA2B5B">
        <w:rPr>
          <w:color w:val="000000"/>
          <w:sz w:val="24"/>
        </w:rPr>
        <w:t>全额扣除：个人通过非营利性的社会团体和国家机关向红十字事业、农村义务教育、公益性青少年活动场所的捐赠。</w:t>
      </w:r>
    </w:p>
    <w:p w:rsidR="00911E61" w:rsidRDefault="00911E61" w:rsidP="00911E61">
      <w:pPr>
        <w:spacing w:line="360" w:lineRule="auto"/>
        <w:ind w:firstLineChars="147" w:firstLine="354"/>
        <w:rPr>
          <w:rFonts w:hint="eastAsia"/>
          <w:color w:val="000000"/>
          <w:sz w:val="24"/>
        </w:rPr>
      </w:pPr>
      <w:r w:rsidRPr="00FA2B5B">
        <w:rPr>
          <w:b/>
          <w:color w:val="000000"/>
          <w:sz w:val="24"/>
        </w:rPr>
        <w:t>（</w:t>
      </w:r>
      <w:r w:rsidRPr="00FA2B5B">
        <w:rPr>
          <w:b/>
          <w:color w:val="000000"/>
          <w:sz w:val="24"/>
        </w:rPr>
        <w:t>4</w:t>
      </w:r>
      <w:r w:rsidRPr="00FA2B5B">
        <w:rPr>
          <w:b/>
          <w:color w:val="000000"/>
          <w:sz w:val="24"/>
        </w:rPr>
        <w:t>）境外所得的已纳税款的扣除</w:t>
      </w:r>
    </w:p>
    <w:p w:rsidR="00911E61" w:rsidRPr="00FA2B5B" w:rsidRDefault="00911E61" w:rsidP="00911E61">
      <w:pPr>
        <w:spacing w:line="360" w:lineRule="auto"/>
        <w:ind w:firstLineChars="200" w:firstLine="480"/>
        <w:rPr>
          <w:color w:val="000000"/>
          <w:sz w:val="24"/>
        </w:rPr>
      </w:pPr>
      <w:r w:rsidRPr="00FA2B5B">
        <w:rPr>
          <w:color w:val="000000"/>
          <w:sz w:val="24"/>
        </w:rPr>
        <w:t>纳税人从中国境外取得的所得，准予其在应纳税额中扣除已在境外缴纳的个人所得税税款。但扣除额不得超过该纳税人境外所得依照我国税法规定计算的应纳税额。</w:t>
      </w:r>
    </w:p>
    <w:p w:rsidR="00911E61" w:rsidRDefault="00911E61" w:rsidP="00911E61">
      <w:pPr>
        <w:spacing w:line="360" w:lineRule="auto"/>
        <w:ind w:firstLineChars="200" w:firstLine="482"/>
        <w:rPr>
          <w:rFonts w:hint="eastAsia"/>
          <w:b/>
          <w:color w:val="000000"/>
          <w:sz w:val="24"/>
        </w:rPr>
      </w:pPr>
      <w:r w:rsidRPr="00FA2B5B">
        <w:rPr>
          <w:b/>
          <w:color w:val="000000"/>
          <w:sz w:val="24"/>
        </w:rPr>
        <w:t>2.</w:t>
      </w:r>
      <w:r w:rsidRPr="00FA2B5B">
        <w:rPr>
          <w:b/>
          <w:color w:val="000000"/>
          <w:sz w:val="24"/>
        </w:rPr>
        <w:t>年所得</w:t>
      </w:r>
      <w:r w:rsidRPr="00FA2B5B">
        <w:rPr>
          <w:b/>
          <w:color w:val="000000"/>
          <w:sz w:val="24"/>
        </w:rPr>
        <w:t>12</w:t>
      </w:r>
      <w:r w:rsidRPr="00FA2B5B">
        <w:rPr>
          <w:b/>
          <w:color w:val="000000"/>
          <w:sz w:val="24"/>
        </w:rPr>
        <w:t>万元以上的纳税人自行申报纳税</w:t>
      </w:r>
    </w:p>
    <w:p w:rsidR="00911E61" w:rsidRPr="00FA2B5B" w:rsidRDefault="00911E61" w:rsidP="00911E61">
      <w:pPr>
        <w:spacing w:line="360" w:lineRule="auto"/>
        <w:ind w:firstLineChars="200" w:firstLine="480"/>
        <w:rPr>
          <w:rFonts w:hint="eastAsia"/>
          <w:color w:val="000000"/>
          <w:sz w:val="24"/>
        </w:rPr>
      </w:pPr>
      <w:r w:rsidRPr="00FA2B5B">
        <w:rPr>
          <w:color w:val="000000"/>
          <w:sz w:val="24"/>
        </w:rPr>
        <w:lastRenderedPageBreak/>
        <w:t>年所得</w:t>
      </w:r>
      <w:r w:rsidRPr="00FA2B5B">
        <w:rPr>
          <w:color w:val="000000"/>
          <w:sz w:val="24"/>
        </w:rPr>
        <w:t>12</w:t>
      </w:r>
      <w:r w:rsidRPr="00FA2B5B">
        <w:rPr>
          <w:color w:val="000000"/>
          <w:sz w:val="24"/>
        </w:rPr>
        <w:t>万元以上，是指纳税人在一个纳税年度取得</w:t>
      </w:r>
      <w:r w:rsidRPr="00FA2B5B">
        <w:rPr>
          <w:color w:val="000000"/>
          <w:sz w:val="24"/>
        </w:rPr>
        <w:t>11</w:t>
      </w:r>
      <w:r w:rsidRPr="00FA2B5B">
        <w:rPr>
          <w:color w:val="000000"/>
          <w:sz w:val="24"/>
        </w:rPr>
        <w:t>项所得的合计数额达到</w:t>
      </w:r>
      <w:r w:rsidRPr="00FA2B5B">
        <w:rPr>
          <w:color w:val="000000"/>
          <w:sz w:val="24"/>
        </w:rPr>
        <w:t>12</w:t>
      </w:r>
      <w:r w:rsidRPr="00FA2B5B">
        <w:rPr>
          <w:color w:val="000000"/>
          <w:sz w:val="24"/>
        </w:rPr>
        <w:t>万元，但是</w:t>
      </w:r>
      <w:r w:rsidRPr="00FA2B5B">
        <w:rPr>
          <w:b/>
          <w:color w:val="000000"/>
          <w:sz w:val="24"/>
        </w:rPr>
        <w:t>不包含税法规定的免税所得、税法规定的可以免税的来源于中国境外的所得以及按照国家规定，单位为个人缴付的基本养老保险、基本医疗保险费、失业保险费和住房公积金。</w:t>
      </w:r>
    </w:p>
    <w:p w:rsidR="00911E61" w:rsidRPr="00FA2B5B" w:rsidRDefault="00911E61" w:rsidP="00911E61">
      <w:pPr>
        <w:spacing w:line="360" w:lineRule="auto"/>
        <w:ind w:firstLineChars="200" w:firstLine="482"/>
        <w:rPr>
          <w:b/>
          <w:sz w:val="24"/>
        </w:rPr>
      </w:pPr>
      <w:r w:rsidRPr="00FA2B5B">
        <w:rPr>
          <w:b/>
          <w:sz w:val="24"/>
        </w:rPr>
        <w:t>3.</w:t>
      </w:r>
      <w:r w:rsidRPr="00FA2B5B">
        <w:rPr>
          <w:b/>
          <w:sz w:val="24"/>
        </w:rPr>
        <w:t>个税税收筹划（</w:t>
      </w:r>
      <w:r w:rsidRPr="00FA2B5B">
        <w:rPr>
          <w:b/>
          <w:bCs/>
          <w:sz w:val="24"/>
        </w:rPr>
        <w:t>充分运用税收优惠政策）</w:t>
      </w:r>
    </w:p>
    <w:p w:rsidR="00911E61" w:rsidRPr="00490375" w:rsidRDefault="00911E61" w:rsidP="00911E61">
      <w:pPr>
        <w:spacing w:line="360" w:lineRule="auto"/>
        <w:ind w:firstLineChars="200" w:firstLine="482"/>
        <w:rPr>
          <w:rFonts w:hint="eastAsia"/>
          <w:sz w:val="24"/>
        </w:rPr>
      </w:pPr>
      <w:r w:rsidRPr="00FA2B5B">
        <w:rPr>
          <w:b/>
          <w:bCs/>
          <w:sz w:val="24"/>
        </w:rPr>
        <w:t>（</w:t>
      </w:r>
      <w:r w:rsidRPr="00FA2B5B">
        <w:rPr>
          <w:b/>
          <w:bCs/>
          <w:sz w:val="24"/>
        </w:rPr>
        <w:t>1</w:t>
      </w:r>
      <w:r w:rsidRPr="00FA2B5B">
        <w:rPr>
          <w:b/>
          <w:bCs/>
          <w:sz w:val="24"/>
        </w:rPr>
        <w:t>）免税项目</w:t>
      </w:r>
      <w:r w:rsidRPr="00FA2B5B">
        <w:rPr>
          <w:bCs/>
          <w:sz w:val="24"/>
        </w:rPr>
        <w:t>：</w:t>
      </w:r>
      <w:r w:rsidRPr="00FA2B5B">
        <w:rPr>
          <w:b/>
          <w:bCs/>
          <w:sz w:val="24"/>
        </w:rPr>
        <w:t>①</w:t>
      </w:r>
      <w:r w:rsidRPr="00FA2B5B">
        <w:rPr>
          <w:b/>
          <w:bCs/>
          <w:sz w:val="24"/>
        </w:rPr>
        <w:t>省级人民政府、国务院部委和中国人民解放军军以上单位，以及外国组织、国际组织颁发的科学、教育、技术、文化、卫生、体育、环境保护等方面的奖金；</w:t>
      </w:r>
      <w:r w:rsidRPr="00FA2B5B">
        <w:rPr>
          <w:b/>
          <w:bCs/>
          <w:sz w:val="24"/>
        </w:rPr>
        <w:t>②</w:t>
      </w:r>
      <w:r w:rsidRPr="00FA2B5B">
        <w:rPr>
          <w:bCs/>
          <w:sz w:val="24"/>
        </w:rPr>
        <w:t>国债和国家发行的金融债券利息；</w:t>
      </w:r>
      <w:r w:rsidRPr="00FA2B5B">
        <w:rPr>
          <w:b/>
          <w:bCs/>
          <w:sz w:val="24"/>
        </w:rPr>
        <w:t>③</w:t>
      </w:r>
      <w:r w:rsidRPr="00FA2B5B">
        <w:rPr>
          <w:bCs/>
          <w:sz w:val="24"/>
        </w:rPr>
        <w:t>按照国家统一规定发给的补贴、津贴。</w:t>
      </w:r>
      <w:r w:rsidRPr="00FA2B5B">
        <w:rPr>
          <w:color w:val="000000"/>
          <w:sz w:val="24"/>
        </w:rPr>
        <w:t>指按照国务院规定发给的政府特殊津贴、院士津贴、资深院士津贴，以及国务院规定免纳个人所得税的其他补贴、津贴；</w:t>
      </w:r>
      <w:r w:rsidRPr="00FA2B5B">
        <w:rPr>
          <w:b/>
          <w:bCs/>
          <w:sz w:val="24"/>
        </w:rPr>
        <w:t>④</w:t>
      </w:r>
      <w:r w:rsidRPr="00FA2B5B">
        <w:rPr>
          <w:bCs/>
          <w:sz w:val="24"/>
        </w:rPr>
        <w:t>福利费、抚恤金、救济金。</w:t>
      </w:r>
      <w:r w:rsidRPr="00FA2B5B">
        <w:rPr>
          <w:color w:val="000000"/>
          <w:sz w:val="24"/>
        </w:rPr>
        <w:t xml:space="preserve"> </w:t>
      </w:r>
      <w:r w:rsidRPr="00FA2B5B">
        <w:rPr>
          <w:color w:val="000000"/>
          <w:sz w:val="24"/>
        </w:rPr>
        <w:t>福利费，是指根据国家有关规定，从企业、事业单位、国家机关、社会团体提留的福利费或者工会经费中支付给个人的生活补助费；所说的救济金，是指各级人民政府民政部门支付给个人的生活困难补助费；</w:t>
      </w:r>
      <w:r w:rsidRPr="00FA2B5B">
        <w:rPr>
          <w:b/>
          <w:bCs/>
          <w:sz w:val="24"/>
        </w:rPr>
        <w:t>⑤</w:t>
      </w:r>
      <w:r w:rsidRPr="00FA2B5B">
        <w:rPr>
          <w:bCs/>
          <w:sz w:val="24"/>
        </w:rPr>
        <w:t>保险赔款；</w:t>
      </w:r>
      <w:r w:rsidRPr="00FA2B5B">
        <w:rPr>
          <w:b/>
          <w:bCs/>
          <w:sz w:val="24"/>
        </w:rPr>
        <w:t>⑥</w:t>
      </w:r>
      <w:r w:rsidRPr="00FA2B5B">
        <w:rPr>
          <w:bCs/>
          <w:sz w:val="24"/>
        </w:rPr>
        <w:t>军人的转业费、复员费；</w:t>
      </w:r>
      <w:r w:rsidRPr="00FA2B5B">
        <w:rPr>
          <w:b/>
          <w:bCs/>
          <w:sz w:val="24"/>
        </w:rPr>
        <w:t>⑦</w:t>
      </w:r>
      <w:r w:rsidRPr="00FA2B5B">
        <w:rPr>
          <w:b/>
          <w:bCs/>
          <w:sz w:val="24"/>
        </w:rPr>
        <w:t>按照国家统一规定发给干部、职工的安家费、退职费、退休工资、离休工资、离休生活补助费。离退休人员按规定领取离退休工资或养老金外，另从原任单位取得的各类补贴、奖金、实物，应按</w:t>
      </w:r>
      <w:r w:rsidRPr="00FA2B5B">
        <w:rPr>
          <w:b/>
          <w:bCs/>
          <w:sz w:val="24"/>
        </w:rPr>
        <w:t>“</w:t>
      </w:r>
      <w:r w:rsidRPr="00FA2B5B">
        <w:rPr>
          <w:b/>
          <w:bCs/>
          <w:sz w:val="24"/>
        </w:rPr>
        <w:t>工资、薪金所得</w:t>
      </w:r>
      <w:r w:rsidRPr="00FA2B5B">
        <w:rPr>
          <w:b/>
          <w:bCs/>
          <w:sz w:val="24"/>
        </w:rPr>
        <w:t>”</w:t>
      </w:r>
      <w:r w:rsidRPr="00FA2B5B">
        <w:rPr>
          <w:b/>
          <w:bCs/>
          <w:sz w:val="24"/>
        </w:rPr>
        <w:t>应税项目的规定缴纳个人所得税。退休人员再任职取得的收入，在减除按税法规定的费用扣除标准后，按</w:t>
      </w:r>
      <w:r w:rsidRPr="00FA2B5B">
        <w:rPr>
          <w:b/>
          <w:bCs/>
          <w:sz w:val="24"/>
        </w:rPr>
        <w:t>“</w:t>
      </w:r>
      <w:r w:rsidRPr="00FA2B5B">
        <w:rPr>
          <w:b/>
          <w:bCs/>
          <w:sz w:val="24"/>
        </w:rPr>
        <w:t>工资、薪金所得</w:t>
      </w:r>
      <w:r w:rsidRPr="00FA2B5B">
        <w:rPr>
          <w:b/>
          <w:bCs/>
          <w:sz w:val="24"/>
        </w:rPr>
        <w:t>”</w:t>
      </w:r>
      <w:r w:rsidRPr="00FA2B5B">
        <w:rPr>
          <w:b/>
          <w:bCs/>
          <w:sz w:val="24"/>
        </w:rPr>
        <w:t>应税项目的规定缴纳个人所得税；</w:t>
      </w:r>
      <w:r w:rsidRPr="00FA2B5B">
        <w:rPr>
          <w:b/>
          <w:bCs/>
          <w:sz w:val="24"/>
        </w:rPr>
        <w:t>⑧</w:t>
      </w:r>
      <w:r w:rsidRPr="00FA2B5B">
        <w:rPr>
          <w:bCs/>
          <w:sz w:val="24"/>
        </w:rPr>
        <w:t>依照我国有关法律规定应予免税的各国驻华使馆、领事馆的外交代表、领事官员和其他人员的所得；</w:t>
      </w:r>
      <w:r w:rsidRPr="00FA2B5B">
        <w:rPr>
          <w:b/>
          <w:bCs/>
          <w:sz w:val="24"/>
        </w:rPr>
        <w:t>⑨</w:t>
      </w:r>
      <w:r w:rsidRPr="00FA2B5B">
        <w:rPr>
          <w:bCs/>
          <w:sz w:val="24"/>
        </w:rPr>
        <w:t>中国政府参加的国际公约、签订的协议中规定免税的所得；</w:t>
      </w:r>
      <w:r w:rsidRPr="00FA2B5B">
        <w:rPr>
          <w:b/>
          <w:bCs/>
          <w:sz w:val="24"/>
        </w:rPr>
        <w:t>⑩</w:t>
      </w:r>
      <w:r>
        <w:rPr>
          <w:bCs/>
          <w:sz w:val="24"/>
        </w:rPr>
        <w:t>经国务院财政部门批准免税的其他所得。</w:t>
      </w:r>
    </w:p>
    <w:p w:rsidR="00911E61" w:rsidRPr="00FA2B5B" w:rsidRDefault="00911E61" w:rsidP="00911E61">
      <w:pPr>
        <w:spacing w:line="360" w:lineRule="auto"/>
        <w:ind w:firstLineChars="200" w:firstLine="482"/>
        <w:rPr>
          <w:bCs/>
          <w:sz w:val="24"/>
        </w:rPr>
      </w:pPr>
      <w:r>
        <w:rPr>
          <w:b/>
          <w:bCs/>
          <w:sz w:val="24"/>
        </w:rPr>
        <w:t>（</w:t>
      </w:r>
      <w:r w:rsidRPr="00FA2B5B">
        <w:rPr>
          <w:b/>
          <w:bCs/>
          <w:sz w:val="24"/>
        </w:rPr>
        <w:t>2</w:t>
      </w:r>
      <w:r>
        <w:rPr>
          <w:b/>
          <w:bCs/>
          <w:sz w:val="24"/>
        </w:rPr>
        <w:t>）</w:t>
      </w:r>
      <w:r w:rsidRPr="00FA2B5B">
        <w:rPr>
          <w:b/>
          <w:bCs/>
          <w:sz w:val="24"/>
        </w:rPr>
        <w:t>减税项目：</w:t>
      </w:r>
      <w:r w:rsidRPr="00FA2B5B">
        <w:rPr>
          <w:bCs/>
          <w:sz w:val="24"/>
        </w:rPr>
        <w:t>残疾、孤老人员和烈属的所得</w:t>
      </w:r>
      <w:r w:rsidRPr="00FA2B5B">
        <w:rPr>
          <w:bCs/>
          <w:sz w:val="24"/>
        </w:rPr>
        <w:t>;</w:t>
      </w:r>
      <w:r w:rsidRPr="00FA2B5B">
        <w:rPr>
          <w:bCs/>
          <w:sz w:val="24"/>
        </w:rPr>
        <w:t>因严重自然灾害造成重大损失的</w:t>
      </w:r>
      <w:r w:rsidRPr="00FA2B5B">
        <w:rPr>
          <w:bCs/>
          <w:sz w:val="24"/>
        </w:rPr>
        <w:t>;</w:t>
      </w:r>
      <w:r w:rsidRPr="00FA2B5B">
        <w:rPr>
          <w:bCs/>
          <w:sz w:val="24"/>
        </w:rPr>
        <w:t>其他经国务院财政部门批准减免的。</w:t>
      </w:r>
    </w:p>
    <w:p w:rsidR="00911E61" w:rsidRPr="00FA2B5B" w:rsidRDefault="00911E61" w:rsidP="00911E61">
      <w:pPr>
        <w:spacing w:line="360" w:lineRule="auto"/>
        <w:ind w:firstLineChars="200" w:firstLine="482"/>
        <w:rPr>
          <w:b/>
          <w:sz w:val="24"/>
        </w:rPr>
      </w:pPr>
      <w:r>
        <w:rPr>
          <w:b/>
          <w:bCs/>
          <w:sz w:val="24"/>
        </w:rPr>
        <w:t>（</w:t>
      </w:r>
      <w:r w:rsidRPr="00FA2B5B">
        <w:rPr>
          <w:b/>
          <w:bCs/>
          <w:sz w:val="24"/>
        </w:rPr>
        <w:t>3</w:t>
      </w:r>
      <w:r>
        <w:rPr>
          <w:b/>
          <w:bCs/>
          <w:sz w:val="24"/>
        </w:rPr>
        <w:t>）</w:t>
      </w:r>
      <w:r w:rsidRPr="00FA2B5B">
        <w:rPr>
          <w:b/>
          <w:bCs/>
          <w:sz w:val="24"/>
        </w:rPr>
        <w:t>暂免征税项目：</w:t>
      </w:r>
      <w:r w:rsidRPr="00FA2B5B">
        <w:rPr>
          <w:b/>
          <w:bCs/>
          <w:sz w:val="24"/>
        </w:rPr>
        <w:t>①</w:t>
      </w:r>
      <w:r w:rsidRPr="00FA2B5B">
        <w:rPr>
          <w:bCs/>
          <w:color w:val="000000"/>
          <w:sz w:val="24"/>
        </w:rPr>
        <w:t>外籍个人以非现金形式或实报实销形式取得的住房补贴、伙食补贴、洗衣费、境内外出差补贴等</w:t>
      </w:r>
      <w:r w:rsidRPr="00FA2B5B">
        <w:rPr>
          <w:color w:val="000000"/>
          <w:sz w:val="24"/>
        </w:rPr>
        <w:t xml:space="preserve"> </w:t>
      </w:r>
      <w:r w:rsidRPr="00FA2B5B">
        <w:rPr>
          <w:color w:val="000000"/>
          <w:sz w:val="24"/>
        </w:rPr>
        <w:t>；</w:t>
      </w:r>
      <w:r w:rsidRPr="00FA2B5B">
        <w:rPr>
          <w:b/>
          <w:bCs/>
          <w:sz w:val="24"/>
        </w:rPr>
        <w:t>②</w:t>
      </w:r>
      <w:r w:rsidRPr="00FA2B5B">
        <w:rPr>
          <w:bCs/>
          <w:color w:val="000000"/>
          <w:sz w:val="24"/>
        </w:rPr>
        <w:t>个人举报、协查各种违法、犯罪行为而获得的奖金代扣代缴手续费；</w:t>
      </w:r>
      <w:r w:rsidRPr="00FA2B5B">
        <w:rPr>
          <w:b/>
          <w:bCs/>
          <w:sz w:val="24"/>
        </w:rPr>
        <w:t>③</w:t>
      </w:r>
      <w:r w:rsidRPr="00FA2B5B">
        <w:rPr>
          <w:bCs/>
          <w:color w:val="000000"/>
          <w:sz w:val="24"/>
        </w:rPr>
        <w:t>个人转让自用达</w:t>
      </w:r>
      <w:r w:rsidRPr="00FA2B5B">
        <w:rPr>
          <w:bCs/>
          <w:color w:val="000000"/>
          <w:sz w:val="24"/>
        </w:rPr>
        <w:t>5</w:t>
      </w:r>
      <w:r w:rsidRPr="00FA2B5B">
        <w:rPr>
          <w:bCs/>
          <w:color w:val="000000"/>
          <w:sz w:val="24"/>
        </w:rPr>
        <w:t>年以上并且是家庭唯一用房所得</w:t>
      </w:r>
    </w:p>
    <w:p w:rsidR="00911E61" w:rsidRPr="00FA2B5B" w:rsidRDefault="00911E61" w:rsidP="00911E61">
      <w:pPr>
        <w:spacing w:line="360" w:lineRule="auto"/>
        <w:ind w:firstLineChars="200" w:firstLine="482"/>
        <w:rPr>
          <w:bCs/>
          <w:color w:val="000000"/>
          <w:sz w:val="24"/>
        </w:rPr>
      </w:pPr>
      <w:r w:rsidRPr="00FA2B5B">
        <w:rPr>
          <w:b/>
          <w:bCs/>
          <w:color w:val="000000"/>
          <w:sz w:val="24"/>
        </w:rPr>
        <w:t>（</w:t>
      </w:r>
      <w:r w:rsidRPr="00FA2B5B">
        <w:rPr>
          <w:b/>
          <w:bCs/>
          <w:color w:val="000000"/>
          <w:sz w:val="24"/>
        </w:rPr>
        <w:t>4</w:t>
      </w:r>
      <w:r w:rsidRPr="00FA2B5B">
        <w:rPr>
          <w:b/>
          <w:bCs/>
          <w:color w:val="000000"/>
          <w:sz w:val="24"/>
        </w:rPr>
        <w:t>）</w:t>
      </w:r>
      <w:proofErr w:type="gramStart"/>
      <w:r w:rsidRPr="00FA2B5B">
        <w:rPr>
          <w:b/>
          <w:bCs/>
          <w:color w:val="000000"/>
          <w:sz w:val="24"/>
        </w:rPr>
        <w:t>不予征收</w:t>
      </w:r>
      <w:proofErr w:type="gramEnd"/>
      <w:r w:rsidRPr="00FA2B5B">
        <w:rPr>
          <w:b/>
          <w:bCs/>
          <w:color w:val="000000"/>
          <w:sz w:val="24"/>
        </w:rPr>
        <w:t>个人所得税的补贴、津贴：</w:t>
      </w:r>
      <w:r w:rsidRPr="00FA2B5B">
        <w:rPr>
          <w:bCs/>
          <w:color w:val="000000"/>
          <w:sz w:val="24"/>
        </w:rPr>
        <w:t>独生子女补贴；执行公务员工资制度未纳入基本工资总额的补贴、津贴差额和家属成员的副食品补贴；托儿补助</w:t>
      </w:r>
      <w:r w:rsidRPr="00FA2B5B">
        <w:rPr>
          <w:bCs/>
          <w:color w:val="000000"/>
          <w:sz w:val="24"/>
        </w:rPr>
        <w:lastRenderedPageBreak/>
        <w:t>费；差旅费津贴、误餐补助。</w:t>
      </w:r>
    </w:p>
    <w:p w:rsidR="00911E61" w:rsidRDefault="00911E61" w:rsidP="00911E61">
      <w:pPr>
        <w:spacing w:line="360" w:lineRule="auto"/>
        <w:ind w:firstLineChars="200" w:firstLine="482"/>
        <w:rPr>
          <w:rFonts w:hint="eastAsia"/>
          <w:b/>
          <w:bCs/>
          <w:sz w:val="24"/>
        </w:rPr>
      </w:pPr>
      <w:r>
        <w:rPr>
          <w:rFonts w:hint="eastAsia"/>
          <w:b/>
          <w:bCs/>
          <w:sz w:val="24"/>
        </w:rPr>
        <w:t>（</w:t>
      </w:r>
      <w:r>
        <w:rPr>
          <w:rFonts w:hint="eastAsia"/>
          <w:b/>
          <w:bCs/>
          <w:sz w:val="24"/>
        </w:rPr>
        <w:t>5</w:t>
      </w:r>
      <w:r>
        <w:rPr>
          <w:rFonts w:hint="eastAsia"/>
          <w:b/>
          <w:bCs/>
          <w:sz w:val="24"/>
        </w:rPr>
        <w:t>）</w:t>
      </w:r>
      <w:r w:rsidRPr="00FA2B5B">
        <w:rPr>
          <w:b/>
          <w:bCs/>
          <w:sz w:val="24"/>
        </w:rPr>
        <w:t>注意个税临界点（年终奖）</w:t>
      </w:r>
    </w:p>
    <w:p w:rsidR="00911E61" w:rsidRPr="00FA2B5B" w:rsidRDefault="00911E61" w:rsidP="00911E61">
      <w:pPr>
        <w:spacing w:line="360" w:lineRule="auto"/>
        <w:ind w:firstLineChars="200" w:firstLine="482"/>
        <w:rPr>
          <w:b/>
          <w:bCs/>
          <w:sz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1080"/>
        <w:gridCol w:w="1980"/>
        <w:gridCol w:w="1440"/>
        <w:gridCol w:w="2412"/>
      </w:tblGrid>
      <w:tr w:rsidR="00911E61" w:rsidRPr="00220DEE" w:rsidTr="00204220">
        <w:trPr>
          <w:trHeight w:val="769"/>
          <w:jc w:val="center"/>
        </w:trPr>
        <w:tc>
          <w:tcPr>
            <w:tcW w:w="1368" w:type="dxa"/>
            <w:vAlign w:val="center"/>
          </w:tcPr>
          <w:p w:rsidR="00911E61" w:rsidRDefault="00911E61" w:rsidP="00204220">
            <w:pPr>
              <w:jc w:val="center"/>
              <w:rPr>
                <w:rFonts w:hint="eastAsia"/>
                <w:b/>
                <w:kern w:val="0"/>
                <w:szCs w:val="21"/>
              </w:rPr>
            </w:pPr>
            <w:r w:rsidRPr="00220DEE">
              <w:rPr>
                <w:b/>
                <w:kern w:val="0"/>
                <w:szCs w:val="21"/>
              </w:rPr>
              <w:t>年终奖</w:t>
            </w:r>
          </w:p>
          <w:p w:rsidR="00911E61" w:rsidRPr="00220DEE" w:rsidRDefault="00911E61" w:rsidP="00204220">
            <w:pPr>
              <w:jc w:val="center"/>
              <w:rPr>
                <w:b/>
                <w:kern w:val="0"/>
                <w:szCs w:val="21"/>
              </w:rPr>
            </w:pPr>
            <w:r w:rsidRPr="00220DEE">
              <w:rPr>
                <w:b/>
                <w:kern w:val="0"/>
                <w:szCs w:val="21"/>
              </w:rPr>
              <w:t>（元）</w:t>
            </w:r>
          </w:p>
        </w:tc>
        <w:tc>
          <w:tcPr>
            <w:tcW w:w="900" w:type="dxa"/>
            <w:vAlign w:val="center"/>
          </w:tcPr>
          <w:p w:rsidR="00911E61" w:rsidRDefault="00911E61" w:rsidP="00204220">
            <w:pPr>
              <w:jc w:val="center"/>
              <w:rPr>
                <w:rFonts w:hint="eastAsia"/>
                <w:b/>
                <w:kern w:val="0"/>
                <w:szCs w:val="21"/>
              </w:rPr>
            </w:pPr>
            <w:r w:rsidRPr="00220DEE">
              <w:rPr>
                <w:b/>
                <w:kern w:val="0"/>
                <w:szCs w:val="21"/>
              </w:rPr>
              <w:t>税率</w:t>
            </w:r>
          </w:p>
          <w:p w:rsidR="00911E61" w:rsidRPr="00220DEE" w:rsidRDefault="00911E61" w:rsidP="00204220">
            <w:pPr>
              <w:jc w:val="center"/>
              <w:rPr>
                <w:b/>
                <w:kern w:val="0"/>
                <w:szCs w:val="21"/>
              </w:rPr>
            </w:pPr>
            <w:r w:rsidRPr="00220DEE">
              <w:rPr>
                <w:b/>
                <w:kern w:val="0"/>
                <w:szCs w:val="21"/>
              </w:rPr>
              <w:t>%</w:t>
            </w:r>
          </w:p>
        </w:tc>
        <w:tc>
          <w:tcPr>
            <w:tcW w:w="1080" w:type="dxa"/>
            <w:vAlign w:val="center"/>
          </w:tcPr>
          <w:p w:rsidR="00911E61" w:rsidRPr="00220DEE" w:rsidRDefault="00911E61" w:rsidP="00204220">
            <w:pPr>
              <w:jc w:val="center"/>
              <w:rPr>
                <w:b/>
                <w:kern w:val="0"/>
                <w:szCs w:val="21"/>
              </w:rPr>
            </w:pPr>
            <w:proofErr w:type="gramStart"/>
            <w:r w:rsidRPr="00220DEE">
              <w:rPr>
                <w:b/>
                <w:kern w:val="0"/>
                <w:szCs w:val="21"/>
              </w:rPr>
              <w:t>速扣数</w:t>
            </w:r>
            <w:proofErr w:type="gramEnd"/>
          </w:p>
        </w:tc>
        <w:tc>
          <w:tcPr>
            <w:tcW w:w="1980" w:type="dxa"/>
            <w:vAlign w:val="center"/>
          </w:tcPr>
          <w:p w:rsidR="00911E61" w:rsidRPr="00220DEE" w:rsidRDefault="00911E61" w:rsidP="00204220">
            <w:pPr>
              <w:jc w:val="center"/>
              <w:rPr>
                <w:b/>
                <w:kern w:val="0"/>
                <w:szCs w:val="21"/>
              </w:rPr>
            </w:pPr>
            <w:r w:rsidRPr="00220DEE">
              <w:rPr>
                <w:b/>
                <w:kern w:val="0"/>
                <w:szCs w:val="21"/>
              </w:rPr>
              <w:t>应缴个人所得税额</w:t>
            </w:r>
          </w:p>
        </w:tc>
        <w:tc>
          <w:tcPr>
            <w:tcW w:w="1440" w:type="dxa"/>
            <w:vAlign w:val="center"/>
          </w:tcPr>
          <w:p w:rsidR="00911E61" w:rsidRPr="00220DEE" w:rsidRDefault="00911E61" w:rsidP="00204220">
            <w:pPr>
              <w:jc w:val="center"/>
              <w:rPr>
                <w:b/>
                <w:kern w:val="0"/>
                <w:szCs w:val="21"/>
              </w:rPr>
            </w:pPr>
            <w:r w:rsidRPr="00220DEE">
              <w:rPr>
                <w:b/>
                <w:kern w:val="0"/>
                <w:szCs w:val="21"/>
              </w:rPr>
              <w:t>税后收入额</w:t>
            </w:r>
          </w:p>
        </w:tc>
        <w:tc>
          <w:tcPr>
            <w:tcW w:w="2412" w:type="dxa"/>
            <w:vAlign w:val="center"/>
          </w:tcPr>
          <w:p w:rsidR="00911E61" w:rsidRDefault="00911E61" w:rsidP="00204220">
            <w:pPr>
              <w:jc w:val="center"/>
              <w:rPr>
                <w:rFonts w:hint="eastAsia"/>
                <w:b/>
                <w:kern w:val="0"/>
                <w:szCs w:val="21"/>
              </w:rPr>
            </w:pPr>
            <w:r w:rsidRPr="00220DEE">
              <w:rPr>
                <w:b/>
                <w:kern w:val="0"/>
                <w:szCs w:val="21"/>
              </w:rPr>
              <w:t>增加</w:t>
            </w:r>
            <w:r w:rsidRPr="00220DEE">
              <w:rPr>
                <w:b/>
                <w:kern w:val="0"/>
                <w:szCs w:val="21"/>
              </w:rPr>
              <w:t>1</w:t>
            </w:r>
            <w:r w:rsidRPr="00220DEE">
              <w:rPr>
                <w:b/>
                <w:kern w:val="0"/>
                <w:szCs w:val="21"/>
              </w:rPr>
              <w:t>元增加的税额</w:t>
            </w:r>
          </w:p>
          <w:p w:rsidR="00911E61" w:rsidRPr="00220DEE" w:rsidRDefault="00911E61" w:rsidP="00204220">
            <w:pPr>
              <w:jc w:val="center"/>
              <w:rPr>
                <w:b/>
                <w:kern w:val="0"/>
                <w:szCs w:val="21"/>
              </w:rPr>
            </w:pPr>
            <w:r w:rsidRPr="00220DEE">
              <w:rPr>
                <w:b/>
                <w:kern w:val="0"/>
                <w:szCs w:val="21"/>
              </w:rPr>
              <w:t>（元）</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18000.00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3.00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0.00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540.00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17460.00</w:t>
            </w:r>
          </w:p>
        </w:tc>
        <w:tc>
          <w:tcPr>
            <w:tcW w:w="2412" w:type="dxa"/>
            <w:vAlign w:val="center"/>
          </w:tcPr>
          <w:p w:rsidR="00911E61" w:rsidRPr="00220DEE" w:rsidRDefault="00911E61" w:rsidP="00204220">
            <w:pPr>
              <w:jc w:val="center"/>
              <w:rPr>
                <w:b/>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color w:val="000000"/>
                <w:kern w:val="0"/>
                <w:szCs w:val="21"/>
              </w:rPr>
            </w:pPr>
            <w:r w:rsidRPr="00220DEE">
              <w:rPr>
                <w:color w:val="000000"/>
                <w:kern w:val="0"/>
                <w:szCs w:val="21"/>
              </w:rPr>
              <w:t>18001.00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10.00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105.00</w:t>
            </w:r>
          </w:p>
        </w:tc>
        <w:tc>
          <w:tcPr>
            <w:tcW w:w="1980" w:type="dxa"/>
            <w:vAlign w:val="center"/>
          </w:tcPr>
          <w:p w:rsidR="00911E61" w:rsidRPr="00220DEE" w:rsidRDefault="00911E61" w:rsidP="00204220">
            <w:pPr>
              <w:jc w:val="center"/>
              <w:rPr>
                <w:color w:val="000000"/>
                <w:kern w:val="0"/>
                <w:szCs w:val="21"/>
              </w:rPr>
            </w:pPr>
            <w:r w:rsidRPr="00220DEE">
              <w:rPr>
                <w:color w:val="000000"/>
                <w:kern w:val="0"/>
                <w:szCs w:val="21"/>
              </w:rPr>
              <w:t>1695.10</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16305.90</w:t>
            </w:r>
          </w:p>
        </w:tc>
        <w:tc>
          <w:tcPr>
            <w:tcW w:w="2412" w:type="dxa"/>
            <w:vAlign w:val="center"/>
          </w:tcPr>
          <w:p w:rsidR="00911E61" w:rsidRPr="00220DEE" w:rsidRDefault="00911E61" w:rsidP="00204220">
            <w:pPr>
              <w:jc w:val="center"/>
              <w:rPr>
                <w:b/>
                <w:kern w:val="0"/>
                <w:szCs w:val="21"/>
              </w:rPr>
            </w:pPr>
            <w:r w:rsidRPr="00220DEE">
              <w:rPr>
                <w:b/>
                <w:kern w:val="0"/>
                <w:szCs w:val="21"/>
              </w:rPr>
              <w:t>1155.10</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54000.00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10.00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105.00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5295.00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48705.00</w:t>
            </w:r>
          </w:p>
        </w:tc>
        <w:tc>
          <w:tcPr>
            <w:tcW w:w="2412" w:type="dxa"/>
            <w:vAlign w:val="center"/>
          </w:tcPr>
          <w:p w:rsidR="00911E61" w:rsidRPr="00220DEE" w:rsidRDefault="00911E61" w:rsidP="00204220">
            <w:pPr>
              <w:jc w:val="center"/>
              <w:rPr>
                <w:b/>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color w:val="000000"/>
                <w:kern w:val="0"/>
                <w:szCs w:val="21"/>
              </w:rPr>
            </w:pPr>
            <w:r w:rsidRPr="00220DEE">
              <w:rPr>
                <w:color w:val="000000"/>
                <w:kern w:val="0"/>
                <w:szCs w:val="21"/>
              </w:rPr>
              <w:t>54001.00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20.00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555.00</w:t>
            </w:r>
          </w:p>
        </w:tc>
        <w:tc>
          <w:tcPr>
            <w:tcW w:w="1980" w:type="dxa"/>
            <w:vAlign w:val="center"/>
          </w:tcPr>
          <w:p w:rsidR="00911E61" w:rsidRPr="00220DEE" w:rsidRDefault="00911E61" w:rsidP="00204220">
            <w:pPr>
              <w:jc w:val="center"/>
              <w:rPr>
                <w:color w:val="000000"/>
                <w:kern w:val="0"/>
                <w:szCs w:val="21"/>
              </w:rPr>
            </w:pPr>
            <w:r w:rsidRPr="00220DEE">
              <w:rPr>
                <w:color w:val="000000"/>
                <w:kern w:val="0"/>
                <w:szCs w:val="21"/>
              </w:rPr>
              <w:t>10245.20</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43755.80</w:t>
            </w:r>
          </w:p>
        </w:tc>
        <w:tc>
          <w:tcPr>
            <w:tcW w:w="2412" w:type="dxa"/>
            <w:vAlign w:val="center"/>
          </w:tcPr>
          <w:p w:rsidR="00911E61" w:rsidRPr="00220DEE" w:rsidRDefault="00911E61" w:rsidP="00204220">
            <w:pPr>
              <w:jc w:val="center"/>
              <w:rPr>
                <w:b/>
                <w:kern w:val="0"/>
                <w:szCs w:val="21"/>
              </w:rPr>
            </w:pPr>
            <w:r w:rsidRPr="00220DEE">
              <w:rPr>
                <w:b/>
                <w:kern w:val="0"/>
                <w:szCs w:val="21"/>
              </w:rPr>
              <w:t>4950.20</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108000.00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20.00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555.00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21045.00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86955.00</w:t>
            </w:r>
          </w:p>
        </w:tc>
        <w:tc>
          <w:tcPr>
            <w:tcW w:w="2412" w:type="dxa"/>
            <w:vAlign w:val="center"/>
          </w:tcPr>
          <w:p w:rsidR="00911E61" w:rsidRPr="00220DEE" w:rsidRDefault="00911E61" w:rsidP="00204220">
            <w:pPr>
              <w:jc w:val="center"/>
              <w:rPr>
                <w:b/>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kern w:val="0"/>
                <w:szCs w:val="21"/>
              </w:rPr>
            </w:pPr>
            <w:r w:rsidRPr="00220DEE">
              <w:rPr>
                <w:kern w:val="0"/>
                <w:szCs w:val="21"/>
              </w:rPr>
              <w:t>108001.00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25.00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1005.00</w:t>
            </w:r>
          </w:p>
        </w:tc>
        <w:tc>
          <w:tcPr>
            <w:tcW w:w="1980" w:type="dxa"/>
            <w:vAlign w:val="center"/>
          </w:tcPr>
          <w:p w:rsidR="00911E61" w:rsidRPr="00220DEE" w:rsidRDefault="00911E61" w:rsidP="00204220">
            <w:pPr>
              <w:jc w:val="center"/>
              <w:rPr>
                <w:kern w:val="0"/>
                <w:szCs w:val="21"/>
              </w:rPr>
            </w:pPr>
            <w:r w:rsidRPr="00220DEE">
              <w:rPr>
                <w:kern w:val="0"/>
                <w:szCs w:val="21"/>
              </w:rPr>
              <w:t>25995.25</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82005.75</w:t>
            </w:r>
          </w:p>
        </w:tc>
        <w:tc>
          <w:tcPr>
            <w:tcW w:w="2412" w:type="dxa"/>
            <w:vAlign w:val="center"/>
          </w:tcPr>
          <w:p w:rsidR="00911E61" w:rsidRPr="00220DEE" w:rsidRDefault="00911E61" w:rsidP="00204220">
            <w:pPr>
              <w:jc w:val="center"/>
              <w:rPr>
                <w:b/>
                <w:kern w:val="0"/>
                <w:szCs w:val="21"/>
              </w:rPr>
            </w:pPr>
            <w:r w:rsidRPr="00220DEE">
              <w:rPr>
                <w:b/>
                <w:kern w:val="0"/>
                <w:szCs w:val="21"/>
              </w:rPr>
              <w:t>4950.25</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420000.00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25.00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1005.00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103995.00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316005.00</w:t>
            </w:r>
          </w:p>
        </w:tc>
        <w:tc>
          <w:tcPr>
            <w:tcW w:w="2412" w:type="dxa"/>
            <w:vAlign w:val="center"/>
          </w:tcPr>
          <w:p w:rsidR="00911E61" w:rsidRPr="00220DEE" w:rsidRDefault="00911E61" w:rsidP="00204220">
            <w:pPr>
              <w:jc w:val="center"/>
              <w:rPr>
                <w:b/>
                <w:color w:val="000000"/>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color w:val="000000"/>
                <w:kern w:val="0"/>
                <w:szCs w:val="21"/>
              </w:rPr>
            </w:pPr>
            <w:r w:rsidRPr="00220DEE">
              <w:rPr>
                <w:color w:val="000000"/>
                <w:kern w:val="0"/>
                <w:szCs w:val="21"/>
              </w:rPr>
              <w:t>420001.00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30.00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2755.00</w:t>
            </w:r>
          </w:p>
        </w:tc>
        <w:tc>
          <w:tcPr>
            <w:tcW w:w="1980" w:type="dxa"/>
            <w:vAlign w:val="center"/>
          </w:tcPr>
          <w:p w:rsidR="00911E61" w:rsidRPr="00220DEE" w:rsidRDefault="00911E61" w:rsidP="00204220">
            <w:pPr>
              <w:jc w:val="center"/>
              <w:rPr>
                <w:color w:val="000000"/>
                <w:kern w:val="0"/>
                <w:szCs w:val="21"/>
              </w:rPr>
            </w:pPr>
            <w:r w:rsidRPr="00220DEE">
              <w:rPr>
                <w:color w:val="000000"/>
                <w:kern w:val="0"/>
                <w:szCs w:val="21"/>
              </w:rPr>
              <w:t>123245.30</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296755.70</w:t>
            </w:r>
          </w:p>
        </w:tc>
        <w:tc>
          <w:tcPr>
            <w:tcW w:w="2412" w:type="dxa"/>
            <w:vAlign w:val="center"/>
          </w:tcPr>
          <w:p w:rsidR="00911E61" w:rsidRPr="00220DEE" w:rsidRDefault="00911E61" w:rsidP="00204220">
            <w:pPr>
              <w:jc w:val="center"/>
              <w:rPr>
                <w:b/>
                <w:color w:val="000000"/>
                <w:kern w:val="0"/>
                <w:szCs w:val="21"/>
              </w:rPr>
            </w:pPr>
            <w:r w:rsidRPr="00220DEE">
              <w:rPr>
                <w:b/>
                <w:color w:val="000000"/>
                <w:kern w:val="0"/>
                <w:szCs w:val="21"/>
              </w:rPr>
              <w:t>19250.30</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660000.00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30.00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2755.00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195245.00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464755.00</w:t>
            </w:r>
          </w:p>
        </w:tc>
        <w:tc>
          <w:tcPr>
            <w:tcW w:w="2412" w:type="dxa"/>
            <w:vAlign w:val="center"/>
          </w:tcPr>
          <w:p w:rsidR="00911E61" w:rsidRPr="00220DEE" w:rsidRDefault="00911E61" w:rsidP="00204220">
            <w:pPr>
              <w:jc w:val="center"/>
              <w:rPr>
                <w:b/>
                <w:color w:val="000000"/>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color w:val="000000"/>
                <w:kern w:val="0"/>
                <w:szCs w:val="21"/>
              </w:rPr>
            </w:pPr>
            <w:r w:rsidRPr="00220DEE">
              <w:rPr>
                <w:color w:val="000000"/>
                <w:kern w:val="0"/>
                <w:szCs w:val="21"/>
              </w:rPr>
              <w:t>660001.00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35.00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5505.00</w:t>
            </w:r>
          </w:p>
        </w:tc>
        <w:tc>
          <w:tcPr>
            <w:tcW w:w="1980" w:type="dxa"/>
            <w:vAlign w:val="center"/>
          </w:tcPr>
          <w:p w:rsidR="00911E61" w:rsidRPr="00220DEE" w:rsidRDefault="00911E61" w:rsidP="00204220">
            <w:pPr>
              <w:jc w:val="center"/>
              <w:rPr>
                <w:color w:val="000000"/>
                <w:kern w:val="0"/>
                <w:szCs w:val="21"/>
              </w:rPr>
            </w:pPr>
            <w:r w:rsidRPr="00220DEE">
              <w:rPr>
                <w:color w:val="000000"/>
                <w:kern w:val="0"/>
                <w:szCs w:val="21"/>
              </w:rPr>
              <w:t>225495.35</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434505.65</w:t>
            </w:r>
          </w:p>
        </w:tc>
        <w:tc>
          <w:tcPr>
            <w:tcW w:w="2412" w:type="dxa"/>
            <w:vAlign w:val="center"/>
          </w:tcPr>
          <w:p w:rsidR="00911E61" w:rsidRPr="00220DEE" w:rsidRDefault="00911E61" w:rsidP="00204220">
            <w:pPr>
              <w:jc w:val="center"/>
              <w:rPr>
                <w:b/>
                <w:color w:val="000000"/>
                <w:kern w:val="0"/>
                <w:szCs w:val="21"/>
              </w:rPr>
            </w:pPr>
            <w:r w:rsidRPr="00220DEE">
              <w:rPr>
                <w:b/>
                <w:color w:val="000000"/>
                <w:kern w:val="0"/>
                <w:szCs w:val="21"/>
              </w:rPr>
              <w:t>30250.35</w:t>
            </w:r>
          </w:p>
        </w:tc>
      </w:tr>
      <w:tr w:rsidR="00911E61" w:rsidRPr="00220DEE" w:rsidTr="00204220">
        <w:trPr>
          <w:trHeight w:val="567"/>
          <w:jc w:val="center"/>
        </w:trPr>
        <w:tc>
          <w:tcPr>
            <w:tcW w:w="1368" w:type="dxa"/>
            <w:vAlign w:val="center"/>
          </w:tcPr>
          <w:p w:rsidR="00911E61" w:rsidRPr="00220DEE" w:rsidRDefault="00911E61" w:rsidP="00204220">
            <w:pPr>
              <w:jc w:val="center"/>
              <w:rPr>
                <w:b/>
                <w:color w:val="000000"/>
                <w:kern w:val="0"/>
                <w:szCs w:val="21"/>
              </w:rPr>
            </w:pPr>
            <w:r w:rsidRPr="00220DEE">
              <w:rPr>
                <w:b/>
                <w:color w:val="000000"/>
                <w:kern w:val="0"/>
                <w:szCs w:val="21"/>
              </w:rPr>
              <w:t>960000.00</w:t>
            </w:r>
          </w:p>
        </w:tc>
        <w:tc>
          <w:tcPr>
            <w:tcW w:w="900" w:type="dxa"/>
            <w:vAlign w:val="center"/>
          </w:tcPr>
          <w:p w:rsidR="00911E61" w:rsidRPr="00220DEE" w:rsidRDefault="00911E61" w:rsidP="00204220">
            <w:pPr>
              <w:jc w:val="center"/>
              <w:rPr>
                <w:b/>
                <w:color w:val="000000"/>
                <w:kern w:val="0"/>
                <w:szCs w:val="21"/>
              </w:rPr>
            </w:pPr>
            <w:r w:rsidRPr="00220DEE">
              <w:rPr>
                <w:b/>
                <w:color w:val="000000"/>
                <w:kern w:val="0"/>
                <w:szCs w:val="21"/>
              </w:rPr>
              <w:t>35.00</w:t>
            </w:r>
          </w:p>
        </w:tc>
        <w:tc>
          <w:tcPr>
            <w:tcW w:w="1080" w:type="dxa"/>
            <w:vAlign w:val="center"/>
          </w:tcPr>
          <w:p w:rsidR="00911E61" w:rsidRPr="00220DEE" w:rsidRDefault="00911E61" w:rsidP="00204220">
            <w:pPr>
              <w:jc w:val="center"/>
              <w:rPr>
                <w:b/>
                <w:color w:val="000000"/>
                <w:kern w:val="0"/>
                <w:szCs w:val="21"/>
              </w:rPr>
            </w:pPr>
            <w:r w:rsidRPr="00220DEE">
              <w:rPr>
                <w:b/>
                <w:color w:val="000000"/>
                <w:kern w:val="0"/>
                <w:szCs w:val="21"/>
              </w:rPr>
              <w:t>5505.00</w:t>
            </w:r>
          </w:p>
        </w:tc>
        <w:tc>
          <w:tcPr>
            <w:tcW w:w="1980" w:type="dxa"/>
            <w:vAlign w:val="center"/>
          </w:tcPr>
          <w:p w:rsidR="00911E61" w:rsidRPr="00220DEE" w:rsidRDefault="00911E61" w:rsidP="00204220">
            <w:pPr>
              <w:jc w:val="center"/>
              <w:rPr>
                <w:b/>
                <w:color w:val="000000"/>
                <w:kern w:val="0"/>
                <w:szCs w:val="21"/>
              </w:rPr>
            </w:pPr>
            <w:r w:rsidRPr="00220DEE">
              <w:rPr>
                <w:b/>
                <w:color w:val="000000"/>
                <w:kern w:val="0"/>
                <w:szCs w:val="21"/>
              </w:rPr>
              <w:t>330495.00</w:t>
            </w:r>
          </w:p>
        </w:tc>
        <w:tc>
          <w:tcPr>
            <w:tcW w:w="1440" w:type="dxa"/>
            <w:vAlign w:val="center"/>
          </w:tcPr>
          <w:p w:rsidR="00911E61" w:rsidRPr="00220DEE" w:rsidRDefault="00911E61" w:rsidP="00204220">
            <w:pPr>
              <w:jc w:val="center"/>
              <w:rPr>
                <w:b/>
                <w:color w:val="000000"/>
                <w:kern w:val="0"/>
                <w:szCs w:val="21"/>
              </w:rPr>
            </w:pPr>
            <w:r w:rsidRPr="00220DEE">
              <w:rPr>
                <w:b/>
                <w:color w:val="000000"/>
                <w:kern w:val="0"/>
                <w:szCs w:val="21"/>
              </w:rPr>
              <w:t>629505.00</w:t>
            </w:r>
          </w:p>
        </w:tc>
        <w:tc>
          <w:tcPr>
            <w:tcW w:w="2412" w:type="dxa"/>
            <w:vAlign w:val="center"/>
          </w:tcPr>
          <w:p w:rsidR="00911E61" w:rsidRPr="00220DEE" w:rsidRDefault="00911E61" w:rsidP="00204220">
            <w:pPr>
              <w:jc w:val="center"/>
              <w:rPr>
                <w:b/>
                <w:color w:val="000000"/>
                <w:kern w:val="0"/>
                <w:szCs w:val="21"/>
              </w:rPr>
            </w:pPr>
          </w:p>
        </w:tc>
      </w:tr>
      <w:tr w:rsidR="00911E61" w:rsidRPr="00220DEE" w:rsidTr="00204220">
        <w:trPr>
          <w:trHeight w:val="567"/>
          <w:jc w:val="center"/>
        </w:trPr>
        <w:tc>
          <w:tcPr>
            <w:tcW w:w="1368" w:type="dxa"/>
            <w:vAlign w:val="center"/>
          </w:tcPr>
          <w:p w:rsidR="00911E61" w:rsidRPr="00220DEE" w:rsidRDefault="00911E61" w:rsidP="00204220">
            <w:pPr>
              <w:jc w:val="center"/>
              <w:rPr>
                <w:color w:val="000000"/>
                <w:kern w:val="0"/>
                <w:szCs w:val="21"/>
              </w:rPr>
            </w:pPr>
            <w:r w:rsidRPr="00220DEE">
              <w:rPr>
                <w:color w:val="000000"/>
                <w:kern w:val="0"/>
                <w:szCs w:val="21"/>
              </w:rPr>
              <w:t>960001.00</w:t>
            </w:r>
          </w:p>
        </w:tc>
        <w:tc>
          <w:tcPr>
            <w:tcW w:w="900" w:type="dxa"/>
            <w:vAlign w:val="center"/>
          </w:tcPr>
          <w:p w:rsidR="00911E61" w:rsidRPr="00220DEE" w:rsidRDefault="00911E61" w:rsidP="00204220">
            <w:pPr>
              <w:jc w:val="center"/>
              <w:rPr>
                <w:color w:val="000000"/>
                <w:kern w:val="0"/>
                <w:szCs w:val="21"/>
              </w:rPr>
            </w:pPr>
            <w:r w:rsidRPr="00220DEE">
              <w:rPr>
                <w:color w:val="000000"/>
                <w:kern w:val="0"/>
                <w:szCs w:val="21"/>
              </w:rPr>
              <w:t>45.00</w:t>
            </w:r>
          </w:p>
        </w:tc>
        <w:tc>
          <w:tcPr>
            <w:tcW w:w="1080" w:type="dxa"/>
            <w:vAlign w:val="center"/>
          </w:tcPr>
          <w:p w:rsidR="00911E61" w:rsidRPr="00220DEE" w:rsidRDefault="00911E61" w:rsidP="00204220">
            <w:pPr>
              <w:jc w:val="center"/>
              <w:rPr>
                <w:color w:val="000000"/>
                <w:kern w:val="0"/>
                <w:szCs w:val="21"/>
              </w:rPr>
            </w:pPr>
            <w:r w:rsidRPr="00220DEE">
              <w:rPr>
                <w:color w:val="000000"/>
                <w:kern w:val="0"/>
                <w:szCs w:val="21"/>
              </w:rPr>
              <w:t>13505.00</w:t>
            </w:r>
          </w:p>
        </w:tc>
        <w:tc>
          <w:tcPr>
            <w:tcW w:w="1980" w:type="dxa"/>
            <w:vAlign w:val="center"/>
          </w:tcPr>
          <w:p w:rsidR="00911E61" w:rsidRPr="00220DEE" w:rsidRDefault="00911E61" w:rsidP="00204220">
            <w:pPr>
              <w:jc w:val="center"/>
              <w:rPr>
                <w:color w:val="000000"/>
                <w:kern w:val="0"/>
                <w:szCs w:val="21"/>
              </w:rPr>
            </w:pPr>
            <w:r w:rsidRPr="00220DEE">
              <w:rPr>
                <w:color w:val="000000"/>
                <w:kern w:val="0"/>
                <w:szCs w:val="21"/>
              </w:rPr>
              <w:t>418495.45</w:t>
            </w:r>
          </w:p>
        </w:tc>
        <w:tc>
          <w:tcPr>
            <w:tcW w:w="1440" w:type="dxa"/>
            <w:vAlign w:val="center"/>
          </w:tcPr>
          <w:p w:rsidR="00911E61" w:rsidRPr="00220DEE" w:rsidRDefault="00911E61" w:rsidP="00204220">
            <w:pPr>
              <w:jc w:val="center"/>
              <w:rPr>
                <w:color w:val="000000"/>
                <w:kern w:val="0"/>
                <w:szCs w:val="21"/>
              </w:rPr>
            </w:pPr>
            <w:r w:rsidRPr="00220DEE">
              <w:rPr>
                <w:color w:val="000000"/>
                <w:kern w:val="0"/>
                <w:szCs w:val="21"/>
              </w:rPr>
              <w:t>541505.55</w:t>
            </w:r>
          </w:p>
        </w:tc>
        <w:tc>
          <w:tcPr>
            <w:tcW w:w="2412" w:type="dxa"/>
            <w:vAlign w:val="center"/>
          </w:tcPr>
          <w:p w:rsidR="00911E61" w:rsidRPr="00220DEE" w:rsidRDefault="00911E61" w:rsidP="00204220">
            <w:pPr>
              <w:jc w:val="center"/>
              <w:rPr>
                <w:b/>
                <w:color w:val="000000"/>
                <w:kern w:val="0"/>
                <w:szCs w:val="21"/>
              </w:rPr>
            </w:pPr>
            <w:r w:rsidRPr="00220DEE">
              <w:rPr>
                <w:b/>
                <w:color w:val="000000"/>
                <w:kern w:val="0"/>
                <w:szCs w:val="21"/>
              </w:rPr>
              <w:t>88000.45</w:t>
            </w:r>
          </w:p>
        </w:tc>
      </w:tr>
    </w:tbl>
    <w:p w:rsidR="00901729" w:rsidRDefault="00901729"/>
    <w:sectPr w:rsidR="009017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B7" w:rsidRDefault="00AD0CB7" w:rsidP="00911E61">
      <w:r>
        <w:separator/>
      </w:r>
    </w:p>
  </w:endnote>
  <w:endnote w:type="continuationSeparator" w:id="0">
    <w:p w:rsidR="00AD0CB7" w:rsidRDefault="00AD0CB7" w:rsidP="0091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27987"/>
      <w:docPartObj>
        <w:docPartGallery w:val="Page Numbers (Bottom of Page)"/>
        <w:docPartUnique/>
      </w:docPartObj>
    </w:sdtPr>
    <w:sdtContent>
      <w:p w:rsidR="00911E61" w:rsidRDefault="00911E61">
        <w:pPr>
          <w:pStyle w:val="a4"/>
          <w:jc w:val="center"/>
        </w:pPr>
        <w:r>
          <w:fldChar w:fldCharType="begin"/>
        </w:r>
        <w:r>
          <w:instrText>PAGE   \* MERGEFORMAT</w:instrText>
        </w:r>
        <w:r>
          <w:fldChar w:fldCharType="separate"/>
        </w:r>
        <w:r w:rsidRPr="00911E61">
          <w:rPr>
            <w:noProof/>
            <w:lang w:val="zh-CN"/>
          </w:rPr>
          <w:t>1</w:t>
        </w:r>
        <w:r>
          <w:fldChar w:fldCharType="end"/>
        </w:r>
      </w:p>
    </w:sdtContent>
  </w:sdt>
  <w:p w:rsidR="00911E61" w:rsidRDefault="00911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B7" w:rsidRDefault="00AD0CB7" w:rsidP="00911E61">
      <w:r>
        <w:separator/>
      </w:r>
    </w:p>
  </w:footnote>
  <w:footnote w:type="continuationSeparator" w:id="0">
    <w:p w:rsidR="00AD0CB7" w:rsidRDefault="00AD0CB7" w:rsidP="0091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75"/>
    <w:rsid w:val="00381975"/>
    <w:rsid w:val="00901729"/>
    <w:rsid w:val="00911E61"/>
    <w:rsid w:val="00920F62"/>
    <w:rsid w:val="00AD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61"/>
    <w:pPr>
      <w:widowControl w:val="0"/>
      <w:jc w:val="both"/>
    </w:pPr>
    <w:rPr>
      <w:kern w:val="2"/>
      <w:sz w:val="21"/>
      <w:szCs w:val="24"/>
    </w:rPr>
  </w:style>
  <w:style w:type="paragraph" w:styleId="2">
    <w:name w:val="heading 2"/>
    <w:basedOn w:val="a"/>
    <w:next w:val="a"/>
    <w:link w:val="2Char"/>
    <w:qFormat/>
    <w:rsid w:val="00920F6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20F62"/>
    <w:rPr>
      <w:rFonts w:ascii="Arial" w:eastAsia="黑体" w:hAnsi="Arial"/>
      <w:b/>
      <w:bCs/>
      <w:kern w:val="2"/>
      <w:sz w:val="32"/>
      <w:szCs w:val="32"/>
    </w:rPr>
  </w:style>
  <w:style w:type="paragraph" w:styleId="a3">
    <w:name w:val="header"/>
    <w:basedOn w:val="a"/>
    <w:link w:val="Char"/>
    <w:uiPriority w:val="99"/>
    <w:unhideWhenUsed/>
    <w:rsid w:val="00911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E61"/>
    <w:rPr>
      <w:kern w:val="2"/>
      <w:sz w:val="18"/>
      <w:szCs w:val="18"/>
    </w:rPr>
  </w:style>
  <w:style w:type="paragraph" w:styleId="a4">
    <w:name w:val="footer"/>
    <w:basedOn w:val="a"/>
    <w:link w:val="Char0"/>
    <w:uiPriority w:val="99"/>
    <w:unhideWhenUsed/>
    <w:rsid w:val="00911E61"/>
    <w:pPr>
      <w:tabs>
        <w:tab w:val="center" w:pos="4153"/>
        <w:tab w:val="right" w:pos="8306"/>
      </w:tabs>
      <w:snapToGrid w:val="0"/>
      <w:jc w:val="left"/>
    </w:pPr>
    <w:rPr>
      <w:sz w:val="18"/>
      <w:szCs w:val="18"/>
    </w:rPr>
  </w:style>
  <w:style w:type="character" w:customStyle="1" w:styleId="Char0">
    <w:name w:val="页脚 Char"/>
    <w:basedOn w:val="a0"/>
    <w:link w:val="a4"/>
    <w:uiPriority w:val="99"/>
    <w:rsid w:val="00911E61"/>
    <w:rPr>
      <w:kern w:val="2"/>
      <w:sz w:val="18"/>
      <w:szCs w:val="18"/>
    </w:rPr>
  </w:style>
  <w:style w:type="character" w:customStyle="1" w:styleId="font14zd">
    <w:name w:val="font14zd"/>
    <w:basedOn w:val="a0"/>
    <w:uiPriority w:val="99"/>
    <w:rsid w:val="00911E61"/>
    <w:rPr>
      <w:rFonts w:cs="Times New Roman"/>
    </w:rPr>
  </w:style>
  <w:style w:type="paragraph" w:styleId="a5">
    <w:name w:val="List Paragraph"/>
    <w:basedOn w:val="a"/>
    <w:uiPriority w:val="34"/>
    <w:qFormat/>
    <w:rsid w:val="00911E61"/>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61"/>
    <w:pPr>
      <w:widowControl w:val="0"/>
      <w:jc w:val="both"/>
    </w:pPr>
    <w:rPr>
      <w:kern w:val="2"/>
      <w:sz w:val="21"/>
      <w:szCs w:val="24"/>
    </w:rPr>
  </w:style>
  <w:style w:type="paragraph" w:styleId="2">
    <w:name w:val="heading 2"/>
    <w:basedOn w:val="a"/>
    <w:next w:val="a"/>
    <w:link w:val="2Char"/>
    <w:qFormat/>
    <w:rsid w:val="00920F6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20F62"/>
    <w:rPr>
      <w:rFonts w:ascii="Arial" w:eastAsia="黑体" w:hAnsi="Arial"/>
      <w:b/>
      <w:bCs/>
      <w:kern w:val="2"/>
      <w:sz w:val="32"/>
      <w:szCs w:val="32"/>
    </w:rPr>
  </w:style>
  <w:style w:type="paragraph" w:styleId="a3">
    <w:name w:val="header"/>
    <w:basedOn w:val="a"/>
    <w:link w:val="Char"/>
    <w:uiPriority w:val="99"/>
    <w:unhideWhenUsed/>
    <w:rsid w:val="00911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E61"/>
    <w:rPr>
      <w:kern w:val="2"/>
      <w:sz w:val="18"/>
      <w:szCs w:val="18"/>
    </w:rPr>
  </w:style>
  <w:style w:type="paragraph" w:styleId="a4">
    <w:name w:val="footer"/>
    <w:basedOn w:val="a"/>
    <w:link w:val="Char0"/>
    <w:uiPriority w:val="99"/>
    <w:unhideWhenUsed/>
    <w:rsid w:val="00911E61"/>
    <w:pPr>
      <w:tabs>
        <w:tab w:val="center" w:pos="4153"/>
        <w:tab w:val="right" w:pos="8306"/>
      </w:tabs>
      <w:snapToGrid w:val="0"/>
      <w:jc w:val="left"/>
    </w:pPr>
    <w:rPr>
      <w:sz w:val="18"/>
      <w:szCs w:val="18"/>
    </w:rPr>
  </w:style>
  <w:style w:type="character" w:customStyle="1" w:styleId="Char0">
    <w:name w:val="页脚 Char"/>
    <w:basedOn w:val="a0"/>
    <w:link w:val="a4"/>
    <w:uiPriority w:val="99"/>
    <w:rsid w:val="00911E61"/>
    <w:rPr>
      <w:kern w:val="2"/>
      <w:sz w:val="18"/>
      <w:szCs w:val="18"/>
    </w:rPr>
  </w:style>
  <w:style w:type="character" w:customStyle="1" w:styleId="font14zd">
    <w:name w:val="font14zd"/>
    <w:basedOn w:val="a0"/>
    <w:uiPriority w:val="99"/>
    <w:rsid w:val="00911E61"/>
    <w:rPr>
      <w:rFonts w:cs="Times New Roman"/>
    </w:rPr>
  </w:style>
  <w:style w:type="paragraph" w:styleId="a5">
    <w:name w:val="List Paragraph"/>
    <w:basedOn w:val="a"/>
    <w:uiPriority w:val="34"/>
    <w:qFormat/>
    <w:rsid w:val="00911E6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任真</dc:creator>
  <cp:keywords/>
  <dc:description/>
  <cp:lastModifiedBy>任真</cp:lastModifiedBy>
  <cp:revision>2</cp:revision>
  <dcterms:created xsi:type="dcterms:W3CDTF">2017-01-12T03:24:00Z</dcterms:created>
  <dcterms:modified xsi:type="dcterms:W3CDTF">2017-01-12T03:26:00Z</dcterms:modified>
</cp:coreProperties>
</file>